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1A8A5F" w14:textId="77777777" w:rsidR="0014798F" w:rsidRDefault="00FE0155">
      <w:pPr>
        <w:tabs>
          <w:tab w:val="left" w:pos="567"/>
          <w:tab w:val="center" w:pos="3362"/>
          <w:tab w:val="right" w:pos="6725"/>
        </w:tabs>
        <w:adjustRightInd w:val="0"/>
        <w:snapToGrid w:val="0"/>
        <w:spacing w:line="300" w:lineRule="auto"/>
        <w:ind w:leftChars="-150" w:left="-315"/>
        <w:jc w:val="left"/>
        <w:rPr>
          <w:rFonts w:eastAsia="黑体"/>
          <w:b/>
          <w:bCs/>
          <w:szCs w:val="21"/>
        </w:rPr>
      </w:pPr>
      <w:bookmarkStart w:id="0" w:name="_Hlk75876992"/>
      <w:bookmarkStart w:id="1" w:name="OLE_LINK23"/>
      <w:r>
        <w:rPr>
          <w:rFonts w:eastAsia="黑体"/>
          <w:b/>
          <w:bCs/>
          <w:noProof/>
          <w:szCs w:val="21"/>
        </w:rPr>
        <w:drawing>
          <wp:anchor distT="0" distB="0" distL="114300" distR="114300" simplePos="0" relativeHeight="251661312" behindDoc="1" locked="0" layoutInCell="1" allowOverlap="1" wp14:anchorId="261A8C63" wp14:editId="261A8C64">
            <wp:simplePos x="0" y="0"/>
            <wp:positionH relativeFrom="column">
              <wp:posOffset>3348355</wp:posOffset>
            </wp:positionH>
            <wp:positionV relativeFrom="paragraph">
              <wp:posOffset>-42545</wp:posOffset>
            </wp:positionV>
            <wp:extent cx="2099945" cy="512445"/>
            <wp:effectExtent l="0" t="0" r="14605" b="190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099945" cy="512445"/>
                    </a:xfrm>
                    <a:prstGeom prst="rect">
                      <a:avLst/>
                    </a:prstGeom>
                    <a:noFill/>
                    <a:ln>
                      <a:noFill/>
                    </a:ln>
                  </pic:spPr>
                </pic:pic>
              </a:graphicData>
            </a:graphic>
          </wp:anchor>
        </w:drawing>
      </w:r>
      <w:r>
        <w:rPr>
          <w:rFonts w:eastAsia="黑体"/>
          <w:b/>
          <w:bCs/>
          <w:szCs w:val="21"/>
        </w:rPr>
        <w:t xml:space="preserve">ICS  </w:t>
      </w:r>
    </w:p>
    <w:p w14:paraId="261A8A60" w14:textId="77777777" w:rsidR="0014798F" w:rsidRDefault="00FE0155">
      <w:pPr>
        <w:tabs>
          <w:tab w:val="left" w:pos="567"/>
          <w:tab w:val="center" w:pos="3362"/>
          <w:tab w:val="right" w:pos="6725"/>
        </w:tabs>
        <w:adjustRightInd w:val="0"/>
        <w:snapToGrid w:val="0"/>
        <w:spacing w:line="300" w:lineRule="auto"/>
        <w:ind w:leftChars="-150" w:left="-315"/>
        <w:jc w:val="left"/>
        <w:rPr>
          <w:rFonts w:eastAsia="黑体"/>
          <w:b/>
          <w:bCs/>
          <w:szCs w:val="21"/>
        </w:rPr>
      </w:pPr>
      <w:r>
        <w:rPr>
          <w:rFonts w:eastAsia="黑体"/>
          <w:b/>
          <w:bCs/>
          <w:szCs w:val="21"/>
        </w:rPr>
        <w:t xml:space="preserve">U </w:t>
      </w:r>
    </w:p>
    <w:p w14:paraId="261A8A61" w14:textId="77777777" w:rsidR="0014798F" w:rsidRDefault="0014798F">
      <w:pPr>
        <w:tabs>
          <w:tab w:val="left" w:pos="567"/>
          <w:tab w:val="center" w:pos="3362"/>
          <w:tab w:val="right" w:pos="6725"/>
        </w:tabs>
        <w:adjustRightInd w:val="0"/>
        <w:snapToGrid w:val="0"/>
        <w:spacing w:line="300" w:lineRule="auto"/>
        <w:jc w:val="left"/>
        <w:rPr>
          <w:b/>
          <w:sz w:val="32"/>
          <w:szCs w:val="32"/>
        </w:rPr>
      </w:pPr>
    </w:p>
    <w:p w14:paraId="261A8A62" w14:textId="77777777" w:rsidR="0014798F" w:rsidRDefault="0014798F">
      <w:pPr>
        <w:tabs>
          <w:tab w:val="left" w:pos="567"/>
          <w:tab w:val="center" w:pos="3362"/>
          <w:tab w:val="right" w:pos="6725"/>
        </w:tabs>
        <w:adjustRightInd w:val="0"/>
        <w:snapToGrid w:val="0"/>
        <w:spacing w:line="300" w:lineRule="auto"/>
        <w:jc w:val="left"/>
        <w:rPr>
          <w:b/>
          <w:sz w:val="32"/>
          <w:szCs w:val="32"/>
        </w:rPr>
      </w:pPr>
    </w:p>
    <w:p w14:paraId="261A8A63" w14:textId="77777777" w:rsidR="0014798F" w:rsidRDefault="00FE0155">
      <w:pPr>
        <w:tabs>
          <w:tab w:val="left" w:pos="567"/>
          <w:tab w:val="center" w:pos="3362"/>
          <w:tab w:val="right" w:pos="6725"/>
        </w:tabs>
        <w:spacing w:line="300" w:lineRule="auto"/>
        <w:ind w:leftChars="-100" w:left="-210"/>
        <w:jc w:val="center"/>
        <w:rPr>
          <w:b/>
          <w:spacing w:val="80"/>
          <w:sz w:val="72"/>
          <w:szCs w:val="72"/>
        </w:rPr>
      </w:pPr>
      <w:r>
        <w:rPr>
          <w:b/>
          <w:spacing w:val="80"/>
          <w:sz w:val="72"/>
          <w:szCs w:val="72"/>
        </w:rPr>
        <w:t>团</w:t>
      </w:r>
      <w:r>
        <w:rPr>
          <w:b/>
          <w:spacing w:val="80"/>
          <w:sz w:val="72"/>
          <w:szCs w:val="72"/>
        </w:rPr>
        <w:t xml:space="preserve">  </w:t>
      </w:r>
      <w:r>
        <w:rPr>
          <w:b/>
          <w:spacing w:val="80"/>
          <w:sz w:val="72"/>
          <w:szCs w:val="72"/>
        </w:rPr>
        <w:t>体</w:t>
      </w:r>
      <w:r>
        <w:rPr>
          <w:b/>
          <w:spacing w:val="80"/>
          <w:sz w:val="72"/>
          <w:szCs w:val="72"/>
        </w:rPr>
        <w:t xml:space="preserve">  </w:t>
      </w:r>
      <w:r>
        <w:rPr>
          <w:b/>
          <w:spacing w:val="80"/>
          <w:sz w:val="72"/>
          <w:szCs w:val="72"/>
        </w:rPr>
        <w:t>标</w:t>
      </w:r>
      <w:r>
        <w:rPr>
          <w:b/>
          <w:spacing w:val="80"/>
          <w:sz w:val="72"/>
          <w:szCs w:val="72"/>
        </w:rPr>
        <w:t xml:space="preserve">  </w:t>
      </w:r>
      <w:r>
        <w:rPr>
          <w:b/>
          <w:spacing w:val="80"/>
          <w:sz w:val="72"/>
          <w:szCs w:val="72"/>
        </w:rPr>
        <w:t>准</w:t>
      </w:r>
    </w:p>
    <w:p w14:paraId="261A8A64" w14:textId="77777777" w:rsidR="0014798F" w:rsidRDefault="00FE0155">
      <w:pPr>
        <w:spacing w:line="300" w:lineRule="auto"/>
        <w:jc w:val="center"/>
        <w:rPr>
          <w:rFonts w:eastAsia="黑体"/>
          <w:sz w:val="28"/>
          <w:szCs w:val="28"/>
        </w:rPr>
      </w:pPr>
      <w:r>
        <w:rPr>
          <w:rFonts w:eastAsia="黑体"/>
          <w:noProof/>
          <w:sz w:val="36"/>
          <w:szCs w:val="36"/>
          <w:u w:val="thick"/>
        </w:rPr>
        <mc:AlternateContent>
          <mc:Choice Requires="wps">
            <w:drawing>
              <wp:anchor distT="0" distB="0" distL="114300" distR="114300" simplePos="0" relativeHeight="251663360" behindDoc="0" locked="0" layoutInCell="1" allowOverlap="1" wp14:anchorId="261A8C65" wp14:editId="261A8C66">
                <wp:simplePos x="0" y="0"/>
                <wp:positionH relativeFrom="column">
                  <wp:posOffset>-163830</wp:posOffset>
                </wp:positionH>
                <wp:positionV relativeFrom="paragraph">
                  <wp:posOffset>387350</wp:posOffset>
                </wp:positionV>
                <wp:extent cx="5553710" cy="0"/>
                <wp:effectExtent l="0" t="9525" r="8890" b="9525"/>
                <wp:wrapNone/>
                <wp:docPr id="77" name="直接连接符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3710" cy="0"/>
                        </a:xfrm>
                        <a:prstGeom prst="line">
                          <a:avLst/>
                        </a:prstGeom>
                        <a:noFill/>
                        <a:ln w="19050">
                          <a:solidFill>
                            <a:srgbClr val="000000"/>
                          </a:solidFill>
                          <a:round/>
                        </a:ln>
                        <a:effectLst/>
                      </wps:spPr>
                      <wps:bodyPr/>
                    </wps:wsp>
                  </a:graphicData>
                </a:graphic>
              </wp:anchor>
            </w:drawing>
          </mc:Choice>
          <mc:Fallback>
            <w:pict>
              <v:line w14:anchorId="7C0F4DF3" id="直接连接符 7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2.9pt,30.5pt" to="424.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ltFqQEAAD8DAAAOAAAAZHJzL2Uyb0RvYy54bWysUsFu2zAMvRfYPwi6L3ZaZO2MOD2k6C7d&#10;GqDdBzCybAuVRYFUYufvJ6lxVmy3YT4Ipkg+vffI9f00WHHUxAZdLZeLUgrtFDbGdbX8+fr4+U4K&#10;DuAasOh0LU+a5f3m09V69JW+xh5to0lEEMfV6GvZh+CromDV6wF4gV67mGyRBggxpK5oCMaIPtji&#10;uiy/FCNS4wmVZo63D+9Jucn4batVeG5b1kHYWkZuIZ+Uz306i80aqo7A90adacA/sBjAuPjoBeoB&#10;AogDmb+gBqMIGduwUDgU2LZG6awhqlmWf6h56cHrrCWaw/5iE/8/WPXjuHU7StTV5F78E6o3Fg63&#10;PbhOZwKvJx8Ht0xWFaPn6tKSAvY7EvvxOzaxBg4BswtTS0OCjPrElM0+XczWUxAqXq5Wq5vbZZyJ&#10;mnMFVHOjJw7fNA4i/dTSGpd8gAqOTxwSEajmknTt8NFYm2dpnRgj26/lqswdjNY0KZvqmLr91pI4&#10;QlqH/GVZMfOxjPDgmvdXrEt9Om/S+elZdtoxrvbYnHY0exOnlMmdNyqtwcc4O/h77ze/AAAA//8D&#10;AFBLAwQUAAYACAAAACEASi1KF9wAAAAJAQAADwAAAGRycy9kb3ducmV2LnhtbEyPwU7DMBBE70j8&#10;g7VI3FqnVVuZNE4Flbj0RqiAoxtvk4h4HcVumvw9izjQ486OZt5ku9G1YsA+NJ40LOYJCKTS24Yq&#10;Dcf315kCEaIha1pPqGHCALv8/i4zqfVXesOhiJXgEAqp0VDH2KVShrJGZ8Lcd0j8O/vemchnX0nb&#10;myuHu1Yuk2QjnWmIG2rT4b7G8ru4OE5Zf6qXg1HHaWqLr6fV/uMwkNP68WF83oKIOMZ/M/ziMzrk&#10;zHTyF7JBtBpmyzWjRw2bBW9ig1opFk5/gswzebsg/wEAAP//AwBQSwECLQAUAAYACAAAACEAtoM4&#10;kv4AAADhAQAAEwAAAAAAAAAAAAAAAAAAAAAAW0NvbnRlbnRfVHlwZXNdLnhtbFBLAQItABQABgAI&#10;AAAAIQA4/SH/1gAAAJQBAAALAAAAAAAAAAAAAAAAAC8BAABfcmVscy8ucmVsc1BLAQItABQABgAI&#10;AAAAIQA5OltFqQEAAD8DAAAOAAAAAAAAAAAAAAAAAC4CAABkcnMvZTJvRG9jLnhtbFBLAQItABQA&#10;BgAIAAAAIQBKLUoX3AAAAAkBAAAPAAAAAAAAAAAAAAAAAAMEAABkcnMvZG93bnJldi54bWxQSwUG&#10;AAAAAAQABADzAAAADAUAAAAA&#10;" strokeweight="1.5pt"/>
            </w:pict>
          </mc:Fallback>
        </mc:AlternateContent>
      </w:r>
      <w:r>
        <w:rPr>
          <w:rFonts w:eastAsia="黑体"/>
          <w:sz w:val="28"/>
          <w:szCs w:val="28"/>
        </w:rPr>
        <w:t xml:space="preserve">                                  T/CHIDA ****—2024</w:t>
      </w:r>
    </w:p>
    <w:p w14:paraId="261A8A65" w14:textId="77777777" w:rsidR="0014798F" w:rsidRDefault="0014798F">
      <w:pPr>
        <w:spacing w:line="300" w:lineRule="auto"/>
        <w:jc w:val="center"/>
        <w:rPr>
          <w:szCs w:val="22"/>
          <w:u w:val="single"/>
        </w:rPr>
      </w:pPr>
    </w:p>
    <w:p w14:paraId="261A8A66" w14:textId="77777777" w:rsidR="0014798F" w:rsidRDefault="0014798F">
      <w:pPr>
        <w:spacing w:line="300" w:lineRule="auto"/>
        <w:jc w:val="center"/>
        <w:rPr>
          <w:szCs w:val="22"/>
          <w:u w:val="thick"/>
        </w:rPr>
      </w:pPr>
    </w:p>
    <w:p w14:paraId="261A8A67" w14:textId="77777777" w:rsidR="0014798F" w:rsidRDefault="0014798F">
      <w:pPr>
        <w:spacing w:line="300" w:lineRule="auto"/>
        <w:jc w:val="center"/>
        <w:rPr>
          <w:szCs w:val="22"/>
          <w:u w:val="thick"/>
        </w:rPr>
      </w:pPr>
    </w:p>
    <w:p w14:paraId="261A8A68" w14:textId="77777777" w:rsidR="0014798F" w:rsidRDefault="0014798F">
      <w:pPr>
        <w:spacing w:line="300" w:lineRule="auto"/>
        <w:jc w:val="center"/>
        <w:rPr>
          <w:szCs w:val="22"/>
          <w:u w:val="thick"/>
        </w:rPr>
      </w:pPr>
    </w:p>
    <w:p w14:paraId="261A8A69" w14:textId="77777777" w:rsidR="0014798F" w:rsidRDefault="0014798F">
      <w:pPr>
        <w:spacing w:line="300" w:lineRule="auto"/>
        <w:jc w:val="center"/>
        <w:rPr>
          <w:szCs w:val="22"/>
          <w:u w:val="thick"/>
        </w:rPr>
      </w:pPr>
    </w:p>
    <w:p w14:paraId="261A8A6A" w14:textId="77777777" w:rsidR="0014798F" w:rsidRDefault="0014798F">
      <w:pPr>
        <w:spacing w:line="300" w:lineRule="auto"/>
        <w:jc w:val="center"/>
        <w:rPr>
          <w:szCs w:val="22"/>
          <w:u w:val="thick"/>
        </w:rPr>
      </w:pPr>
    </w:p>
    <w:p w14:paraId="261A8A6B" w14:textId="77777777" w:rsidR="0014798F" w:rsidRDefault="0014798F">
      <w:pPr>
        <w:spacing w:line="300" w:lineRule="auto"/>
        <w:jc w:val="center"/>
        <w:rPr>
          <w:szCs w:val="22"/>
          <w:u w:val="thick"/>
        </w:rPr>
      </w:pPr>
    </w:p>
    <w:p w14:paraId="261A8A6C" w14:textId="77777777" w:rsidR="0014798F" w:rsidRDefault="00FE0155">
      <w:pPr>
        <w:spacing w:line="300" w:lineRule="auto"/>
        <w:ind w:leftChars="-67" w:left="-141" w:rightChars="-249" w:right="-523"/>
        <w:jc w:val="center"/>
        <w:rPr>
          <w:rFonts w:eastAsia="黑体"/>
          <w:bCs/>
          <w:sz w:val="44"/>
          <w:szCs w:val="44"/>
        </w:rPr>
      </w:pPr>
      <w:r>
        <w:rPr>
          <w:rFonts w:eastAsia="黑体" w:hint="eastAsia"/>
          <w:bCs/>
          <w:sz w:val="44"/>
          <w:szCs w:val="44"/>
        </w:rPr>
        <w:t>石油开采土壤与地下水污染源控制技术指南</w:t>
      </w:r>
    </w:p>
    <w:p w14:paraId="261A8A6D" w14:textId="2AEA613E" w:rsidR="0014798F" w:rsidRDefault="00FE0155">
      <w:pPr>
        <w:spacing w:line="300" w:lineRule="auto"/>
        <w:ind w:leftChars="-67" w:left="-141" w:rightChars="-249" w:right="-523"/>
        <w:jc w:val="center"/>
        <w:rPr>
          <w:rFonts w:eastAsia="黑体"/>
          <w:bCs/>
          <w:sz w:val="44"/>
          <w:szCs w:val="44"/>
        </w:rPr>
      </w:pPr>
      <w:r>
        <w:rPr>
          <w:rFonts w:eastAsia="黑体" w:hint="eastAsia"/>
          <w:bCs/>
          <w:sz w:val="44"/>
          <w:szCs w:val="44"/>
        </w:rPr>
        <w:t>（征求意见</w:t>
      </w:r>
      <w:r>
        <w:rPr>
          <w:rFonts w:eastAsia="黑体" w:hint="eastAsia"/>
          <w:bCs/>
          <w:sz w:val="44"/>
          <w:szCs w:val="44"/>
        </w:rPr>
        <w:t>稿）</w:t>
      </w:r>
    </w:p>
    <w:p w14:paraId="261A8A6E" w14:textId="77777777" w:rsidR="0014798F" w:rsidRDefault="0014798F">
      <w:pPr>
        <w:spacing w:line="300" w:lineRule="auto"/>
        <w:jc w:val="center"/>
        <w:rPr>
          <w:rFonts w:eastAsia="黑体"/>
          <w:sz w:val="28"/>
          <w:szCs w:val="28"/>
        </w:rPr>
      </w:pPr>
    </w:p>
    <w:p w14:paraId="261A8A6F" w14:textId="77777777" w:rsidR="0014798F" w:rsidRDefault="00FE0155">
      <w:pPr>
        <w:spacing w:line="300" w:lineRule="auto"/>
        <w:ind w:leftChars="-67" w:left="-141" w:rightChars="-249" w:right="-523"/>
        <w:jc w:val="center"/>
        <w:rPr>
          <w:szCs w:val="22"/>
        </w:rPr>
      </w:pPr>
      <w:r>
        <w:rPr>
          <w:rFonts w:eastAsia="黑体" w:hint="eastAsia"/>
          <w:sz w:val="28"/>
          <w:szCs w:val="28"/>
        </w:rPr>
        <w:t>Technical Guidelines for Controlling Soil and Groundwater Pollution Sources in Oil Extraction</w:t>
      </w:r>
    </w:p>
    <w:p w14:paraId="261A8A70" w14:textId="77777777" w:rsidR="0014798F" w:rsidRDefault="0014798F">
      <w:pPr>
        <w:spacing w:line="300" w:lineRule="auto"/>
        <w:jc w:val="center"/>
        <w:rPr>
          <w:szCs w:val="22"/>
        </w:rPr>
      </w:pPr>
    </w:p>
    <w:p w14:paraId="261A8A71" w14:textId="77777777" w:rsidR="0014798F" w:rsidRDefault="0014798F">
      <w:pPr>
        <w:spacing w:line="300" w:lineRule="auto"/>
        <w:rPr>
          <w:szCs w:val="22"/>
        </w:rPr>
      </w:pPr>
    </w:p>
    <w:p w14:paraId="261A8A72" w14:textId="77777777" w:rsidR="0014798F" w:rsidRDefault="0014798F">
      <w:pPr>
        <w:spacing w:line="300" w:lineRule="auto"/>
        <w:rPr>
          <w:szCs w:val="22"/>
        </w:rPr>
      </w:pPr>
    </w:p>
    <w:p w14:paraId="261A8A73" w14:textId="77777777" w:rsidR="0014798F" w:rsidRDefault="0014798F">
      <w:pPr>
        <w:spacing w:line="300" w:lineRule="auto"/>
        <w:rPr>
          <w:szCs w:val="22"/>
        </w:rPr>
      </w:pPr>
    </w:p>
    <w:p w14:paraId="261A8A74" w14:textId="77777777" w:rsidR="0014798F" w:rsidRDefault="0014798F">
      <w:pPr>
        <w:spacing w:line="300" w:lineRule="auto"/>
        <w:rPr>
          <w:szCs w:val="22"/>
        </w:rPr>
      </w:pPr>
    </w:p>
    <w:p w14:paraId="261A8A75" w14:textId="77777777" w:rsidR="0014798F" w:rsidRDefault="0014798F">
      <w:pPr>
        <w:spacing w:line="300" w:lineRule="auto"/>
        <w:rPr>
          <w:szCs w:val="22"/>
        </w:rPr>
      </w:pPr>
    </w:p>
    <w:p w14:paraId="261A8A76" w14:textId="77777777" w:rsidR="0014798F" w:rsidRDefault="0014798F">
      <w:pPr>
        <w:spacing w:line="300" w:lineRule="auto"/>
        <w:rPr>
          <w:szCs w:val="22"/>
        </w:rPr>
      </w:pPr>
    </w:p>
    <w:p w14:paraId="261A8A77" w14:textId="77777777" w:rsidR="0014798F" w:rsidRDefault="0014798F">
      <w:pPr>
        <w:spacing w:line="300" w:lineRule="auto"/>
        <w:rPr>
          <w:szCs w:val="22"/>
        </w:rPr>
      </w:pPr>
    </w:p>
    <w:p w14:paraId="261A8A78" w14:textId="77777777" w:rsidR="0014798F" w:rsidRDefault="0014798F">
      <w:pPr>
        <w:spacing w:line="300" w:lineRule="auto"/>
        <w:jc w:val="center"/>
        <w:rPr>
          <w:szCs w:val="22"/>
        </w:rPr>
      </w:pPr>
    </w:p>
    <w:p w14:paraId="261A8A79" w14:textId="77777777" w:rsidR="0014798F" w:rsidRDefault="00FE0155">
      <w:pPr>
        <w:spacing w:line="300" w:lineRule="auto"/>
        <w:jc w:val="center"/>
        <w:rPr>
          <w:rFonts w:eastAsia="黑体"/>
          <w:sz w:val="32"/>
          <w:szCs w:val="32"/>
        </w:rPr>
      </w:pPr>
      <w:r>
        <w:rPr>
          <w:rFonts w:eastAsia="黑体"/>
          <w:noProof/>
          <w:sz w:val="28"/>
          <w:szCs w:val="28"/>
        </w:rPr>
        <mc:AlternateContent>
          <mc:Choice Requires="wps">
            <w:drawing>
              <wp:anchor distT="0" distB="0" distL="114300" distR="114300" simplePos="0" relativeHeight="251662336" behindDoc="0" locked="0" layoutInCell="1" allowOverlap="1" wp14:anchorId="261A8C67" wp14:editId="261A8C68">
                <wp:simplePos x="0" y="0"/>
                <wp:positionH relativeFrom="column">
                  <wp:posOffset>-120015</wp:posOffset>
                </wp:positionH>
                <wp:positionV relativeFrom="paragraph">
                  <wp:posOffset>371475</wp:posOffset>
                </wp:positionV>
                <wp:extent cx="5553710" cy="0"/>
                <wp:effectExtent l="0" t="9525" r="8890" b="9525"/>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3710" cy="0"/>
                        </a:xfrm>
                        <a:prstGeom prst="line">
                          <a:avLst/>
                        </a:prstGeom>
                        <a:noFill/>
                        <a:ln w="19050">
                          <a:solidFill>
                            <a:srgbClr val="000000"/>
                          </a:solidFill>
                          <a:round/>
                        </a:ln>
                        <a:effectLst/>
                      </wps:spPr>
                      <wps:bodyPr/>
                    </wps:wsp>
                  </a:graphicData>
                </a:graphic>
              </wp:anchor>
            </w:drawing>
          </mc:Choice>
          <mc:Fallback>
            <w:pict>
              <v:line w14:anchorId="502D7BF0" id="直接连接符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45pt,29.25pt" to="427.85pt,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ltFqQEAAD8DAAAOAAAAZHJzL2Uyb0RvYy54bWysUsFu2zAMvRfYPwi6L3ZaZO2MOD2k6C7d&#10;GqDdBzCybAuVRYFUYufvJ6lxVmy3YT4Ipkg+vffI9f00WHHUxAZdLZeLUgrtFDbGdbX8+fr4+U4K&#10;DuAasOh0LU+a5f3m09V69JW+xh5to0lEEMfV6GvZh+CromDV6wF4gV67mGyRBggxpK5oCMaIPtji&#10;uiy/FCNS4wmVZo63D+9Jucn4batVeG5b1kHYWkZuIZ+Uz306i80aqo7A90adacA/sBjAuPjoBeoB&#10;AogDmb+gBqMIGduwUDgU2LZG6awhqlmWf6h56cHrrCWaw/5iE/8/WPXjuHU7StTV5F78E6o3Fg63&#10;PbhOZwKvJx8Ht0xWFaPn6tKSAvY7EvvxOzaxBg4BswtTS0OCjPrElM0+XczWUxAqXq5Wq5vbZZyJ&#10;mnMFVHOjJw7fNA4i/dTSGpd8gAqOTxwSEajmknTt8NFYm2dpnRgj26/lqswdjNY0KZvqmLr91pI4&#10;QlqH/GVZMfOxjPDgmvdXrEt9Om/S+elZdtoxrvbYnHY0exOnlMmdNyqtwcc4O/h77ze/AAAA//8D&#10;AFBLAwQUAAYACAAAACEAhReomdwAAAAJAQAADwAAAGRycy9kb3ducmV2LnhtbEyPwU7DMAyG70i8&#10;Q2Qkbls6RCDrmk4wictulAl2zJrQViRO1WRd+/YYcYCj7V+fv7/YTt6x0Q6xC6hgtcyAWayD6bBR&#10;cHh7WUhgMWk02gW0CmYbYVteXxU6N+GCr3asUsMIgjHXCtqU+pzzWLfW67gMvUW6fYbB60Tj0HAz&#10;6AvBveN3WfbAve6QPrS6t7vW1l/V2RNFfMjnvZaHeXbVcX2/e9+P6JW6vZmeNsCSndJfGH70SR1K&#10;cjqFM5rInILFSq4pqkBIAYwCUohHYKffBS8L/r9B+Q0AAP//AwBQSwECLQAUAAYACAAAACEAtoM4&#10;kv4AAADhAQAAEwAAAAAAAAAAAAAAAAAAAAAAW0NvbnRlbnRfVHlwZXNdLnhtbFBLAQItABQABgAI&#10;AAAAIQA4/SH/1gAAAJQBAAALAAAAAAAAAAAAAAAAAC8BAABfcmVscy8ucmVsc1BLAQItABQABgAI&#10;AAAAIQA5OltFqQEAAD8DAAAOAAAAAAAAAAAAAAAAAC4CAABkcnMvZTJvRG9jLnhtbFBLAQItABQA&#10;BgAIAAAAIQCFF6iZ3AAAAAkBAAAPAAAAAAAAAAAAAAAAAAMEAABkcnMvZG93bnJldi54bWxQSwUG&#10;AAAAAAQABADzAAAADAUAAAAA&#10;" strokeweight="1.5pt"/>
            </w:pict>
          </mc:Fallback>
        </mc:AlternateContent>
      </w:r>
      <w:r>
        <w:rPr>
          <w:rFonts w:eastAsia="黑体"/>
          <w:sz w:val="28"/>
          <w:szCs w:val="28"/>
        </w:rPr>
        <w:t>2024-**-**</w:t>
      </w:r>
      <w:r>
        <w:rPr>
          <w:rFonts w:eastAsia="黑体"/>
          <w:sz w:val="28"/>
          <w:szCs w:val="28"/>
        </w:rPr>
        <w:t>发布</w:t>
      </w:r>
      <w:r>
        <w:rPr>
          <w:rFonts w:eastAsia="黑体"/>
          <w:sz w:val="28"/>
          <w:szCs w:val="28"/>
        </w:rPr>
        <w:t xml:space="preserve">                             </w:t>
      </w:r>
      <w:r>
        <w:rPr>
          <w:rFonts w:eastAsia="黑体"/>
          <w:sz w:val="28"/>
          <w:szCs w:val="28"/>
        </w:rPr>
        <w:t xml:space="preserve"> 2024-**-**</w:t>
      </w:r>
      <w:r>
        <w:rPr>
          <w:rFonts w:eastAsia="黑体"/>
          <w:sz w:val="28"/>
          <w:szCs w:val="28"/>
        </w:rPr>
        <w:t>实施</w:t>
      </w:r>
    </w:p>
    <w:p w14:paraId="261A8A7A" w14:textId="77777777" w:rsidR="0014798F" w:rsidRDefault="00FE0155">
      <w:pPr>
        <w:spacing w:line="300" w:lineRule="auto"/>
        <w:jc w:val="center"/>
        <w:rPr>
          <w:rFonts w:eastAsia="黑体"/>
          <w:sz w:val="28"/>
          <w:szCs w:val="28"/>
        </w:rPr>
        <w:sectPr w:rsidR="0014798F">
          <w:headerReference w:type="even" r:id="rId9"/>
          <w:headerReference w:type="default" r:id="rId10"/>
          <w:footerReference w:type="default" r:id="rId11"/>
          <w:pgSz w:w="11906" w:h="16838"/>
          <w:pgMar w:top="1440" w:right="1558" w:bottom="1440" w:left="1800" w:header="993" w:footer="1134" w:gutter="0"/>
          <w:pgNumType w:fmt="upperRoman" w:start="1"/>
          <w:cols w:space="720"/>
          <w:formProt w:val="0"/>
          <w:titlePg/>
          <w:docGrid w:type="linesAndChars" w:linePitch="312"/>
        </w:sectPr>
      </w:pPr>
      <w:r>
        <w:rPr>
          <w:rFonts w:eastAsia="黑体"/>
          <w:b/>
          <w:bCs/>
          <w:spacing w:val="40"/>
          <w:sz w:val="28"/>
          <w:szCs w:val="32"/>
        </w:rPr>
        <w:t xml:space="preserve"> </w:t>
      </w:r>
      <w:bookmarkStart w:id="2" w:name="_Hlk75877039"/>
      <w:r>
        <w:rPr>
          <w:rFonts w:eastAsia="方正黑体简体"/>
          <w:spacing w:val="40"/>
          <w:sz w:val="40"/>
          <w:szCs w:val="40"/>
        </w:rPr>
        <w:t>中国疏浚协会</w:t>
      </w:r>
      <w:bookmarkEnd w:id="2"/>
      <w:r>
        <w:rPr>
          <w:rFonts w:eastAsia="黑体"/>
          <w:sz w:val="28"/>
          <w:szCs w:val="28"/>
        </w:rPr>
        <w:t xml:space="preserve">   </w:t>
      </w:r>
      <w:r>
        <w:rPr>
          <w:rFonts w:eastAsia="黑体"/>
          <w:sz w:val="28"/>
          <w:szCs w:val="28"/>
        </w:rPr>
        <w:t>发布</w:t>
      </w:r>
      <w:bookmarkEnd w:id="0"/>
    </w:p>
    <w:p w14:paraId="261A8A7B" w14:textId="77777777" w:rsidR="0014798F" w:rsidRDefault="00FE0155">
      <w:pPr>
        <w:spacing w:line="300" w:lineRule="auto"/>
        <w:jc w:val="center"/>
        <w:rPr>
          <w:rFonts w:ascii="黑体" w:eastAsia="黑体" w:hAnsi="黑体"/>
          <w:sz w:val="32"/>
          <w:szCs w:val="32"/>
        </w:rPr>
      </w:pPr>
      <w:r>
        <w:rPr>
          <w:rFonts w:ascii="黑体" w:eastAsia="黑体" w:hAnsi="黑体"/>
          <w:sz w:val="32"/>
          <w:szCs w:val="32"/>
        </w:rPr>
        <w:lastRenderedPageBreak/>
        <w:t>目</w:t>
      </w:r>
      <w:bookmarkStart w:id="3" w:name="BKML"/>
      <w:r>
        <w:rPr>
          <w:rFonts w:ascii="黑体" w:eastAsia="黑体" w:hAnsi="黑体"/>
          <w:sz w:val="32"/>
          <w:szCs w:val="32"/>
        </w:rPr>
        <w:t>  </w:t>
      </w:r>
      <w:bookmarkEnd w:id="3"/>
      <w:r>
        <w:rPr>
          <w:rFonts w:ascii="黑体" w:eastAsia="黑体" w:hAnsi="黑体" w:hint="eastAsia"/>
          <w:sz w:val="32"/>
          <w:szCs w:val="32"/>
        </w:rPr>
        <w:t>次</w:t>
      </w:r>
    </w:p>
    <w:p w14:paraId="261A8A7C" w14:textId="77777777" w:rsidR="0014798F" w:rsidRDefault="00FE0155">
      <w:pPr>
        <w:pStyle w:val="TOC1"/>
        <w:tabs>
          <w:tab w:val="clear" w:pos="9241"/>
          <w:tab w:val="right" w:leader="dot" w:pos="8548"/>
        </w:tabs>
        <w:spacing w:beforeLines="0" w:before="0" w:afterLines="0" w:after="0" w:line="360" w:lineRule="auto"/>
        <w:rPr>
          <w:rFonts w:ascii="Times New Roman"/>
        </w:rPr>
      </w:pPr>
      <w:r>
        <w:rPr>
          <w:rFonts w:ascii="Times New Roman"/>
          <w:b/>
        </w:rPr>
        <w:fldChar w:fldCharType="begin"/>
      </w:r>
      <w:r>
        <w:rPr>
          <w:rFonts w:ascii="Times New Roman"/>
          <w:b/>
        </w:rPr>
        <w:instrText xml:space="preserve"> TOC \o "1-3" \h \z \u </w:instrText>
      </w:r>
      <w:r>
        <w:rPr>
          <w:rFonts w:ascii="Times New Roman"/>
          <w:b/>
        </w:rPr>
        <w:fldChar w:fldCharType="separate"/>
      </w:r>
      <w:hyperlink w:anchor="_Toc32621" w:history="1">
        <w:r>
          <w:rPr>
            <w:rFonts w:ascii="Times New Roman"/>
          </w:rPr>
          <w:t>前</w:t>
        </w:r>
        <w:r>
          <w:rPr>
            <w:rFonts w:ascii="Times New Roman"/>
          </w:rPr>
          <w:t>  </w:t>
        </w:r>
        <w:r>
          <w:rPr>
            <w:rFonts w:ascii="Times New Roman"/>
          </w:rPr>
          <w:t>言</w:t>
        </w:r>
        <w:r>
          <w:rPr>
            <w:rFonts w:ascii="Times New Roman"/>
          </w:rPr>
          <w:tab/>
        </w:r>
        <w:r>
          <w:rPr>
            <w:rFonts w:ascii="Times New Roman"/>
          </w:rPr>
          <w:fldChar w:fldCharType="begin"/>
        </w:r>
        <w:r>
          <w:rPr>
            <w:rFonts w:ascii="Times New Roman"/>
          </w:rPr>
          <w:instrText xml:space="preserve"> PAGEREF _Toc32621 \h </w:instrText>
        </w:r>
        <w:r>
          <w:rPr>
            <w:rFonts w:ascii="Times New Roman"/>
          </w:rPr>
        </w:r>
        <w:r>
          <w:rPr>
            <w:rFonts w:ascii="Times New Roman"/>
          </w:rPr>
          <w:fldChar w:fldCharType="separate"/>
        </w:r>
        <w:r>
          <w:rPr>
            <w:rFonts w:ascii="Times New Roman"/>
          </w:rPr>
          <w:t>II</w:t>
        </w:r>
        <w:r>
          <w:rPr>
            <w:rFonts w:ascii="Times New Roman"/>
          </w:rPr>
          <w:fldChar w:fldCharType="end"/>
        </w:r>
      </w:hyperlink>
    </w:p>
    <w:p w14:paraId="261A8A7D" w14:textId="77777777" w:rsidR="0014798F" w:rsidRDefault="00FE0155">
      <w:pPr>
        <w:pStyle w:val="TOC1"/>
        <w:tabs>
          <w:tab w:val="clear" w:pos="9241"/>
          <w:tab w:val="right" w:leader="dot" w:pos="8548"/>
        </w:tabs>
        <w:spacing w:beforeLines="0" w:before="0" w:afterLines="0" w:after="0" w:line="360" w:lineRule="auto"/>
        <w:rPr>
          <w:rFonts w:ascii="Times New Roman"/>
        </w:rPr>
      </w:pPr>
      <w:hyperlink w:anchor="_Toc20352" w:history="1">
        <w:r>
          <w:rPr>
            <w:rFonts w:ascii="Times New Roman"/>
          </w:rPr>
          <w:t xml:space="preserve">1 </w:t>
        </w:r>
        <w:r>
          <w:rPr>
            <w:rFonts w:ascii="Times New Roman"/>
          </w:rPr>
          <w:t>范围</w:t>
        </w:r>
        <w:r>
          <w:rPr>
            <w:rFonts w:ascii="Times New Roman"/>
          </w:rPr>
          <w:tab/>
        </w:r>
        <w:r>
          <w:rPr>
            <w:rFonts w:ascii="Times New Roman"/>
          </w:rPr>
          <w:fldChar w:fldCharType="begin"/>
        </w:r>
        <w:r>
          <w:rPr>
            <w:rFonts w:ascii="Times New Roman"/>
          </w:rPr>
          <w:instrText xml:space="preserve"> PAGEREF _Toc20352 \h </w:instrText>
        </w:r>
        <w:r>
          <w:rPr>
            <w:rFonts w:ascii="Times New Roman"/>
          </w:rPr>
        </w:r>
        <w:r>
          <w:rPr>
            <w:rFonts w:ascii="Times New Roman"/>
          </w:rPr>
          <w:fldChar w:fldCharType="separate"/>
        </w:r>
        <w:r>
          <w:rPr>
            <w:rFonts w:ascii="Times New Roman"/>
          </w:rPr>
          <w:t>1</w:t>
        </w:r>
        <w:r>
          <w:rPr>
            <w:rFonts w:ascii="Times New Roman"/>
          </w:rPr>
          <w:fldChar w:fldCharType="end"/>
        </w:r>
      </w:hyperlink>
    </w:p>
    <w:p w14:paraId="261A8A7E" w14:textId="77777777" w:rsidR="0014798F" w:rsidRDefault="00FE0155">
      <w:pPr>
        <w:pStyle w:val="TOC1"/>
        <w:tabs>
          <w:tab w:val="clear" w:pos="9241"/>
          <w:tab w:val="right" w:leader="dot" w:pos="8548"/>
        </w:tabs>
        <w:spacing w:beforeLines="0" w:before="0" w:afterLines="0" w:after="0" w:line="360" w:lineRule="auto"/>
        <w:rPr>
          <w:rFonts w:ascii="Times New Roman"/>
        </w:rPr>
      </w:pPr>
      <w:hyperlink w:anchor="_Toc18961" w:history="1">
        <w:r>
          <w:rPr>
            <w:rFonts w:ascii="Times New Roman"/>
          </w:rPr>
          <w:t xml:space="preserve">2 </w:t>
        </w:r>
        <w:r>
          <w:rPr>
            <w:rFonts w:ascii="Times New Roman"/>
          </w:rPr>
          <w:t>规范性引用文件</w:t>
        </w:r>
        <w:r>
          <w:rPr>
            <w:rFonts w:ascii="Times New Roman"/>
          </w:rPr>
          <w:tab/>
        </w:r>
        <w:r>
          <w:rPr>
            <w:rFonts w:ascii="Times New Roman"/>
          </w:rPr>
          <w:fldChar w:fldCharType="begin"/>
        </w:r>
        <w:r>
          <w:rPr>
            <w:rFonts w:ascii="Times New Roman"/>
          </w:rPr>
          <w:instrText xml:space="preserve"> PAGEREF _Toc18961 \h </w:instrText>
        </w:r>
        <w:r>
          <w:rPr>
            <w:rFonts w:ascii="Times New Roman"/>
          </w:rPr>
        </w:r>
        <w:r>
          <w:rPr>
            <w:rFonts w:ascii="Times New Roman"/>
          </w:rPr>
          <w:fldChar w:fldCharType="separate"/>
        </w:r>
        <w:r>
          <w:rPr>
            <w:rFonts w:ascii="Times New Roman"/>
          </w:rPr>
          <w:t>1</w:t>
        </w:r>
        <w:r>
          <w:rPr>
            <w:rFonts w:ascii="Times New Roman"/>
          </w:rPr>
          <w:fldChar w:fldCharType="end"/>
        </w:r>
      </w:hyperlink>
    </w:p>
    <w:p w14:paraId="261A8A7F" w14:textId="77777777" w:rsidR="0014798F" w:rsidRDefault="00FE0155">
      <w:pPr>
        <w:pStyle w:val="TOC1"/>
        <w:tabs>
          <w:tab w:val="clear" w:pos="9241"/>
          <w:tab w:val="right" w:leader="dot" w:pos="8548"/>
        </w:tabs>
        <w:spacing w:beforeLines="0" w:before="0" w:afterLines="0" w:after="0" w:line="360" w:lineRule="auto"/>
        <w:rPr>
          <w:rFonts w:ascii="Times New Roman"/>
        </w:rPr>
      </w:pPr>
      <w:hyperlink w:anchor="_Toc30902" w:history="1">
        <w:r>
          <w:rPr>
            <w:rFonts w:ascii="Times New Roman"/>
          </w:rPr>
          <w:t xml:space="preserve">3 </w:t>
        </w:r>
        <w:r>
          <w:rPr>
            <w:rFonts w:ascii="Times New Roman"/>
          </w:rPr>
          <w:t>术语和定义</w:t>
        </w:r>
        <w:r>
          <w:rPr>
            <w:rFonts w:ascii="Times New Roman"/>
          </w:rPr>
          <w:tab/>
        </w:r>
        <w:r>
          <w:rPr>
            <w:rFonts w:ascii="Times New Roman"/>
          </w:rPr>
          <w:fldChar w:fldCharType="begin"/>
        </w:r>
        <w:r>
          <w:rPr>
            <w:rFonts w:ascii="Times New Roman"/>
          </w:rPr>
          <w:instrText xml:space="preserve"> PAGEREF _Toc30902 \h </w:instrText>
        </w:r>
        <w:r>
          <w:rPr>
            <w:rFonts w:ascii="Times New Roman"/>
          </w:rPr>
        </w:r>
        <w:r>
          <w:rPr>
            <w:rFonts w:ascii="Times New Roman"/>
          </w:rPr>
          <w:fldChar w:fldCharType="separate"/>
        </w:r>
        <w:r>
          <w:rPr>
            <w:rFonts w:ascii="Times New Roman"/>
          </w:rPr>
          <w:t>2</w:t>
        </w:r>
        <w:r>
          <w:rPr>
            <w:rFonts w:ascii="Times New Roman"/>
          </w:rPr>
          <w:fldChar w:fldCharType="end"/>
        </w:r>
      </w:hyperlink>
    </w:p>
    <w:p w14:paraId="261A8A80" w14:textId="77777777" w:rsidR="0014798F" w:rsidRDefault="00FE0155">
      <w:pPr>
        <w:pStyle w:val="TOC1"/>
        <w:tabs>
          <w:tab w:val="clear" w:pos="9241"/>
          <w:tab w:val="right" w:leader="dot" w:pos="8548"/>
        </w:tabs>
        <w:spacing w:beforeLines="0" w:before="0" w:afterLines="0" w:after="0" w:line="360" w:lineRule="auto"/>
        <w:rPr>
          <w:rFonts w:ascii="Times New Roman"/>
        </w:rPr>
      </w:pPr>
      <w:hyperlink w:anchor="_Toc13741" w:history="1">
        <w:r>
          <w:rPr>
            <w:rFonts w:ascii="Times New Roman"/>
            <w:szCs w:val="22"/>
          </w:rPr>
          <w:t xml:space="preserve">4  </w:t>
        </w:r>
        <w:r>
          <w:rPr>
            <w:rFonts w:ascii="Times New Roman"/>
            <w:szCs w:val="22"/>
          </w:rPr>
          <w:t>总则</w:t>
        </w:r>
        <w:r>
          <w:rPr>
            <w:rFonts w:ascii="Times New Roman"/>
          </w:rPr>
          <w:tab/>
        </w:r>
        <w:r>
          <w:rPr>
            <w:rFonts w:ascii="Times New Roman"/>
          </w:rPr>
          <w:fldChar w:fldCharType="begin"/>
        </w:r>
        <w:r>
          <w:rPr>
            <w:rFonts w:ascii="Times New Roman"/>
          </w:rPr>
          <w:instrText xml:space="preserve"> PAGEREF _Toc13741 \h </w:instrText>
        </w:r>
        <w:r>
          <w:rPr>
            <w:rFonts w:ascii="Times New Roman"/>
          </w:rPr>
        </w:r>
        <w:r>
          <w:rPr>
            <w:rFonts w:ascii="Times New Roman"/>
          </w:rPr>
          <w:fldChar w:fldCharType="separate"/>
        </w:r>
        <w:r>
          <w:rPr>
            <w:rFonts w:ascii="Times New Roman"/>
          </w:rPr>
          <w:t>3</w:t>
        </w:r>
        <w:r>
          <w:rPr>
            <w:rFonts w:ascii="Times New Roman"/>
          </w:rPr>
          <w:fldChar w:fldCharType="end"/>
        </w:r>
      </w:hyperlink>
    </w:p>
    <w:p w14:paraId="261A8A81" w14:textId="77777777" w:rsidR="0014798F" w:rsidRDefault="00FE0155">
      <w:pPr>
        <w:pStyle w:val="TOC2"/>
        <w:tabs>
          <w:tab w:val="clear" w:pos="9241"/>
          <w:tab w:val="right" w:leader="dot" w:pos="8548"/>
        </w:tabs>
        <w:spacing w:line="360" w:lineRule="auto"/>
        <w:ind w:firstLineChars="100" w:firstLine="210"/>
        <w:rPr>
          <w:rFonts w:ascii="Times New Roman"/>
        </w:rPr>
      </w:pPr>
      <w:hyperlink w:anchor="_Toc30787" w:history="1">
        <w:r>
          <w:rPr>
            <w:rFonts w:ascii="Times New Roman"/>
            <w:szCs w:val="22"/>
          </w:rPr>
          <w:t xml:space="preserve">4.1 </w:t>
        </w:r>
        <w:r>
          <w:rPr>
            <w:rFonts w:ascii="Times New Roman"/>
            <w:szCs w:val="22"/>
          </w:rPr>
          <w:t>科学性原则</w:t>
        </w:r>
        <w:r>
          <w:rPr>
            <w:rFonts w:ascii="Times New Roman"/>
          </w:rPr>
          <w:tab/>
        </w:r>
        <w:r>
          <w:rPr>
            <w:rFonts w:ascii="Times New Roman"/>
          </w:rPr>
          <w:fldChar w:fldCharType="begin"/>
        </w:r>
        <w:r>
          <w:rPr>
            <w:rFonts w:ascii="Times New Roman"/>
          </w:rPr>
          <w:instrText xml:space="preserve"> PAGEREF _Toc30787 \h </w:instrText>
        </w:r>
        <w:r>
          <w:rPr>
            <w:rFonts w:ascii="Times New Roman"/>
          </w:rPr>
        </w:r>
        <w:r>
          <w:rPr>
            <w:rFonts w:ascii="Times New Roman"/>
          </w:rPr>
          <w:fldChar w:fldCharType="separate"/>
        </w:r>
        <w:r>
          <w:rPr>
            <w:rFonts w:ascii="Times New Roman"/>
          </w:rPr>
          <w:t>3</w:t>
        </w:r>
        <w:r>
          <w:rPr>
            <w:rFonts w:ascii="Times New Roman"/>
          </w:rPr>
          <w:fldChar w:fldCharType="end"/>
        </w:r>
      </w:hyperlink>
    </w:p>
    <w:p w14:paraId="261A8A82" w14:textId="77777777" w:rsidR="0014798F" w:rsidRDefault="00FE0155">
      <w:pPr>
        <w:pStyle w:val="TOC2"/>
        <w:tabs>
          <w:tab w:val="clear" w:pos="9241"/>
          <w:tab w:val="right" w:leader="dot" w:pos="8548"/>
        </w:tabs>
        <w:spacing w:line="360" w:lineRule="auto"/>
        <w:ind w:firstLineChars="100" w:firstLine="210"/>
        <w:rPr>
          <w:rFonts w:ascii="Times New Roman"/>
        </w:rPr>
      </w:pPr>
      <w:hyperlink w:anchor="_Toc1921" w:history="1">
        <w:r>
          <w:rPr>
            <w:rFonts w:ascii="Times New Roman"/>
            <w:szCs w:val="22"/>
          </w:rPr>
          <w:t xml:space="preserve">4.2 </w:t>
        </w:r>
        <w:r>
          <w:rPr>
            <w:rFonts w:ascii="Times New Roman"/>
            <w:szCs w:val="22"/>
          </w:rPr>
          <w:t>规范性原则</w:t>
        </w:r>
        <w:r>
          <w:rPr>
            <w:rFonts w:ascii="Times New Roman"/>
          </w:rPr>
          <w:tab/>
        </w:r>
        <w:r>
          <w:rPr>
            <w:rFonts w:ascii="Times New Roman"/>
          </w:rPr>
          <w:fldChar w:fldCharType="begin"/>
        </w:r>
        <w:r>
          <w:rPr>
            <w:rFonts w:ascii="Times New Roman"/>
          </w:rPr>
          <w:instrText xml:space="preserve"> PAGEREF _Toc1921 \h </w:instrText>
        </w:r>
        <w:r>
          <w:rPr>
            <w:rFonts w:ascii="Times New Roman"/>
          </w:rPr>
        </w:r>
        <w:r>
          <w:rPr>
            <w:rFonts w:ascii="Times New Roman"/>
          </w:rPr>
          <w:fldChar w:fldCharType="separate"/>
        </w:r>
        <w:r>
          <w:rPr>
            <w:rFonts w:ascii="Times New Roman"/>
          </w:rPr>
          <w:t>3</w:t>
        </w:r>
        <w:r>
          <w:rPr>
            <w:rFonts w:ascii="Times New Roman"/>
          </w:rPr>
          <w:fldChar w:fldCharType="end"/>
        </w:r>
      </w:hyperlink>
    </w:p>
    <w:p w14:paraId="261A8A83" w14:textId="77777777" w:rsidR="0014798F" w:rsidRDefault="00FE0155">
      <w:pPr>
        <w:pStyle w:val="TOC2"/>
        <w:tabs>
          <w:tab w:val="clear" w:pos="9241"/>
          <w:tab w:val="right" w:leader="dot" w:pos="8548"/>
        </w:tabs>
        <w:spacing w:line="360" w:lineRule="auto"/>
        <w:ind w:firstLineChars="100" w:firstLine="210"/>
        <w:rPr>
          <w:rFonts w:ascii="Times New Roman"/>
        </w:rPr>
      </w:pPr>
      <w:hyperlink w:anchor="_Toc19059" w:history="1">
        <w:r>
          <w:rPr>
            <w:rFonts w:ascii="Times New Roman"/>
            <w:szCs w:val="22"/>
          </w:rPr>
          <w:t xml:space="preserve">4.3 </w:t>
        </w:r>
        <w:r>
          <w:rPr>
            <w:rFonts w:ascii="Times New Roman"/>
            <w:szCs w:val="22"/>
          </w:rPr>
          <w:t>可行性原则</w:t>
        </w:r>
        <w:r>
          <w:rPr>
            <w:rFonts w:ascii="Times New Roman"/>
          </w:rPr>
          <w:tab/>
        </w:r>
        <w:r>
          <w:rPr>
            <w:rFonts w:ascii="Times New Roman"/>
          </w:rPr>
          <w:fldChar w:fldCharType="begin"/>
        </w:r>
        <w:r>
          <w:rPr>
            <w:rFonts w:ascii="Times New Roman"/>
          </w:rPr>
          <w:instrText xml:space="preserve"> PAGEREF _Toc19059 \h </w:instrText>
        </w:r>
        <w:r>
          <w:rPr>
            <w:rFonts w:ascii="Times New Roman"/>
          </w:rPr>
        </w:r>
        <w:r>
          <w:rPr>
            <w:rFonts w:ascii="Times New Roman"/>
          </w:rPr>
          <w:fldChar w:fldCharType="separate"/>
        </w:r>
        <w:r>
          <w:rPr>
            <w:rFonts w:ascii="Times New Roman"/>
          </w:rPr>
          <w:t>3</w:t>
        </w:r>
        <w:r>
          <w:rPr>
            <w:rFonts w:ascii="Times New Roman"/>
          </w:rPr>
          <w:fldChar w:fldCharType="end"/>
        </w:r>
      </w:hyperlink>
    </w:p>
    <w:p w14:paraId="261A8A84" w14:textId="77777777" w:rsidR="0014798F" w:rsidRDefault="00FE0155">
      <w:pPr>
        <w:pStyle w:val="TOC2"/>
        <w:tabs>
          <w:tab w:val="clear" w:pos="9241"/>
          <w:tab w:val="right" w:leader="dot" w:pos="8548"/>
        </w:tabs>
        <w:spacing w:line="360" w:lineRule="auto"/>
        <w:ind w:firstLineChars="100" w:firstLine="210"/>
        <w:rPr>
          <w:rFonts w:ascii="Times New Roman"/>
        </w:rPr>
      </w:pPr>
      <w:hyperlink w:anchor="_Toc3725" w:history="1">
        <w:r>
          <w:rPr>
            <w:rFonts w:ascii="Times New Roman"/>
            <w:szCs w:val="22"/>
          </w:rPr>
          <w:t xml:space="preserve">4.4 </w:t>
        </w:r>
        <w:r>
          <w:rPr>
            <w:rFonts w:ascii="Times New Roman"/>
            <w:szCs w:val="22"/>
          </w:rPr>
          <w:t>安全性原则</w:t>
        </w:r>
        <w:r>
          <w:rPr>
            <w:rFonts w:ascii="Times New Roman"/>
          </w:rPr>
          <w:tab/>
        </w:r>
        <w:r>
          <w:rPr>
            <w:rFonts w:ascii="Times New Roman"/>
          </w:rPr>
          <w:fldChar w:fldCharType="begin"/>
        </w:r>
        <w:r>
          <w:rPr>
            <w:rFonts w:ascii="Times New Roman"/>
          </w:rPr>
          <w:instrText xml:space="preserve"> PAGEREF _Toc3725 \h </w:instrText>
        </w:r>
        <w:r>
          <w:rPr>
            <w:rFonts w:ascii="Times New Roman"/>
          </w:rPr>
        </w:r>
        <w:r>
          <w:rPr>
            <w:rFonts w:ascii="Times New Roman"/>
          </w:rPr>
          <w:fldChar w:fldCharType="separate"/>
        </w:r>
        <w:r>
          <w:rPr>
            <w:rFonts w:ascii="Times New Roman"/>
          </w:rPr>
          <w:t>3</w:t>
        </w:r>
        <w:r>
          <w:rPr>
            <w:rFonts w:ascii="Times New Roman"/>
          </w:rPr>
          <w:fldChar w:fldCharType="end"/>
        </w:r>
      </w:hyperlink>
    </w:p>
    <w:p w14:paraId="261A8A85" w14:textId="77777777" w:rsidR="0014798F" w:rsidRDefault="00FE0155">
      <w:pPr>
        <w:pStyle w:val="TOC1"/>
        <w:tabs>
          <w:tab w:val="clear" w:pos="9241"/>
          <w:tab w:val="right" w:leader="dot" w:pos="8548"/>
        </w:tabs>
        <w:spacing w:beforeLines="0" w:before="0" w:afterLines="0" w:after="0" w:line="360" w:lineRule="auto"/>
        <w:rPr>
          <w:rFonts w:ascii="Times New Roman"/>
        </w:rPr>
      </w:pPr>
      <w:hyperlink w:anchor="_Toc16032" w:history="1">
        <w:r>
          <w:rPr>
            <w:rFonts w:ascii="Times New Roman"/>
            <w:szCs w:val="22"/>
          </w:rPr>
          <w:t xml:space="preserve">5 </w:t>
        </w:r>
        <w:r>
          <w:rPr>
            <w:rFonts w:ascii="Times New Roman"/>
            <w:szCs w:val="22"/>
          </w:rPr>
          <w:t>石油开采区土壤地下水污染</w:t>
        </w:r>
        <w:r>
          <w:rPr>
            <w:rFonts w:ascii="Times New Roman" w:hint="eastAsia"/>
            <w:szCs w:val="22"/>
          </w:rPr>
          <w:t>源</w:t>
        </w:r>
        <w:r>
          <w:rPr>
            <w:rFonts w:ascii="Times New Roman"/>
            <w:szCs w:val="22"/>
          </w:rPr>
          <w:t>调查</w:t>
        </w:r>
        <w:r>
          <w:rPr>
            <w:rFonts w:ascii="Times New Roman"/>
          </w:rPr>
          <w:tab/>
        </w:r>
        <w:r>
          <w:rPr>
            <w:rFonts w:ascii="Times New Roman"/>
          </w:rPr>
          <w:fldChar w:fldCharType="begin"/>
        </w:r>
        <w:r>
          <w:rPr>
            <w:rFonts w:ascii="Times New Roman"/>
          </w:rPr>
          <w:instrText xml:space="preserve"> PAGEREF _Toc16032 \h </w:instrText>
        </w:r>
        <w:r>
          <w:rPr>
            <w:rFonts w:ascii="Times New Roman"/>
          </w:rPr>
        </w:r>
        <w:r>
          <w:rPr>
            <w:rFonts w:ascii="Times New Roman"/>
          </w:rPr>
          <w:fldChar w:fldCharType="separate"/>
        </w:r>
        <w:r>
          <w:rPr>
            <w:rFonts w:ascii="Times New Roman"/>
          </w:rPr>
          <w:t>3</w:t>
        </w:r>
        <w:r>
          <w:rPr>
            <w:rFonts w:ascii="Times New Roman"/>
          </w:rPr>
          <w:fldChar w:fldCharType="end"/>
        </w:r>
      </w:hyperlink>
    </w:p>
    <w:p w14:paraId="261A8A86" w14:textId="77777777" w:rsidR="0014798F" w:rsidRDefault="00FE0155">
      <w:pPr>
        <w:pStyle w:val="TOC2"/>
        <w:tabs>
          <w:tab w:val="clear" w:pos="9241"/>
          <w:tab w:val="right" w:leader="dot" w:pos="8548"/>
        </w:tabs>
        <w:spacing w:line="360" w:lineRule="auto"/>
        <w:ind w:firstLineChars="100" w:firstLine="210"/>
        <w:rPr>
          <w:rFonts w:ascii="Times New Roman"/>
        </w:rPr>
      </w:pPr>
      <w:hyperlink w:anchor="_Toc4015" w:history="1">
        <w:r>
          <w:rPr>
            <w:rFonts w:ascii="Times New Roman"/>
            <w:szCs w:val="22"/>
          </w:rPr>
          <w:t xml:space="preserve">5.1 </w:t>
        </w:r>
        <w:r>
          <w:rPr>
            <w:rFonts w:ascii="Times New Roman"/>
            <w:szCs w:val="22"/>
          </w:rPr>
          <w:t>石油开采区土壤</w:t>
        </w:r>
        <w:r>
          <w:rPr>
            <w:rFonts w:ascii="Times New Roman" w:hint="eastAsia"/>
            <w:szCs w:val="22"/>
          </w:rPr>
          <w:t>源</w:t>
        </w:r>
        <w:r>
          <w:rPr>
            <w:rFonts w:ascii="Times New Roman"/>
            <w:szCs w:val="22"/>
          </w:rPr>
          <w:t>污染调查</w:t>
        </w:r>
        <w:r>
          <w:rPr>
            <w:rFonts w:ascii="Times New Roman"/>
          </w:rPr>
          <w:tab/>
        </w:r>
        <w:r>
          <w:rPr>
            <w:rFonts w:ascii="Times New Roman"/>
          </w:rPr>
          <w:fldChar w:fldCharType="begin"/>
        </w:r>
        <w:r>
          <w:rPr>
            <w:rFonts w:ascii="Times New Roman"/>
          </w:rPr>
          <w:instrText xml:space="preserve"> PAGEREF _Toc4015 \h </w:instrText>
        </w:r>
        <w:r>
          <w:rPr>
            <w:rFonts w:ascii="Times New Roman"/>
          </w:rPr>
        </w:r>
        <w:r>
          <w:rPr>
            <w:rFonts w:ascii="Times New Roman"/>
          </w:rPr>
          <w:fldChar w:fldCharType="separate"/>
        </w:r>
        <w:r>
          <w:rPr>
            <w:rFonts w:ascii="Times New Roman"/>
          </w:rPr>
          <w:t>3</w:t>
        </w:r>
        <w:r>
          <w:rPr>
            <w:rFonts w:ascii="Times New Roman"/>
          </w:rPr>
          <w:fldChar w:fldCharType="end"/>
        </w:r>
      </w:hyperlink>
    </w:p>
    <w:p w14:paraId="261A8A87" w14:textId="77777777" w:rsidR="0014798F" w:rsidRDefault="00FE0155">
      <w:pPr>
        <w:pStyle w:val="TOC2"/>
        <w:tabs>
          <w:tab w:val="clear" w:pos="9241"/>
          <w:tab w:val="right" w:leader="dot" w:pos="8548"/>
        </w:tabs>
        <w:spacing w:line="360" w:lineRule="auto"/>
        <w:ind w:firstLineChars="100" w:firstLine="210"/>
        <w:rPr>
          <w:rFonts w:ascii="Times New Roman"/>
        </w:rPr>
      </w:pPr>
      <w:hyperlink w:anchor="_Toc13661" w:history="1">
        <w:r>
          <w:rPr>
            <w:rFonts w:ascii="Times New Roman"/>
            <w:szCs w:val="22"/>
          </w:rPr>
          <w:t xml:space="preserve">5.2 </w:t>
        </w:r>
        <w:r>
          <w:rPr>
            <w:rFonts w:ascii="Times New Roman"/>
            <w:szCs w:val="22"/>
          </w:rPr>
          <w:t>石油开采区地下水污染</w:t>
        </w:r>
        <w:r>
          <w:rPr>
            <w:rFonts w:ascii="Times New Roman" w:hint="eastAsia"/>
            <w:szCs w:val="22"/>
          </w:rPr>
          <w:t>源</w:t>
        </w:r>
        <w:r>
          <w:rPr>
            <w:rFonts w:ascii="Times New Roman"/>
            <w:szCs w:val="22"/>
          </w:rPr>
          <w:t>调查</w:t>
        </w:r>
        <w:r>
          <w:rPr>
            <w:rFonts w:ascii="Times New Roman"/>
          </w:rPr>
          <w:tab/>
        </w:r>
        <w:r>
          <w:rPr>
            <w:rFonts w:ascii="Times New Roman"/>
          </w:rPr>
          <w:fldChar w:fldCharType="begin"/>
        </w:r>
        <w:r>
          <w:rPr>
            <w:rFonts w:ascii="Times New Roman"/>
          </w:rPr>
          <w:instrText xml:space="preserve"> PAGEREF _Toc13661 \h </w:instrText>
        </w:r>
        <w:r>
          <w:rPr>
            <w:rFonts w:ascii="Times New Roman"/>
          </w:rPr>
        </w:r>
        <w:r>
          <w:rPr>
            <w:rFonts w:ascii="Times New Roman"/>
          </w:rPr>
          <w:fldChar w:fldCharType="separate"/>
        </w:r>
        <w:r>
          <w:rPr>
            <w:rFonts w:ascii="Times New Roman"/>
          </w:rPr>
          <w:t>4</w:t>
        </w:r>
        <w:r>
          <w:rPr>
            <w:rFonts w:ascii="Times New Roman"/>
          </w:rPr>
          <w:fldChar w:fldCharType="end"/>
        </w:r>
      </w:hyperlink>
    </w:p>
    <w:p w14:paraId="261A8A88" w14:textId="77777777" w:rsidR="0014798F" w:rsidRDefault="00FE0155">
      <w:pPr>
        <w:pStyle w:val="TOC2"/>
        <w:tabs>
          <w:tab w:val="clear" w:pos="9241"/>
          <w:tab w:val="right" w:leader="dot" w:pos="8548"/>
        </w:tabs>
        <w:spacing w:line="360" w:lineRule="auto"/>
        <w:ind w:firstLineChars="100" w:firstLine="210"/>
        <w:rPr>
          <w:rFonts w:ascii="Times New Roman"/>
        </w:rPr>
      </w:pPr>
      <w:hyperlink w:anchor="_Toc950" w:history="1">
        <w:bookmarkStart w:id="4" w:name="OLE_LINK1"/>
        <w:r>
          <w:rPr>
            <w:rFonts w:ascii="Times New Roman"/>
            <w:szCs w:val="22"/>
          </w:rPr>
          <w:t xml:space="preserve">5.3 </w:t>
        </w:r>
        <w:r>
          <w:rPr>
            <w:rFonts w:ascii="Times New Roman"/>
            <w:szCs w:val="22"/>
          </w:rPr>
          <w:t>土壤地下水石油污染源分析</w:t>
        </w:r>
        <w:bookmarkEnd w:id="4"/>
        <w:r>
          <w:rPr>
            <w:rFonts w:ascii="Times New Roman"/>
          </w:rPr>
          <w:tab/>
        </w:r>
        <w:r>
          <w:rPr>
            <w:rFonts w:ascii="Times New Roman"/>
          </w:rPr>
          <w:fldChar w:fldCharType="begin"/>
        </w:r>
        <w:r>
          <w:rPr>
            <w:rFonts w:ascii="Times New Roman"/>
          </w:rPr>
          <w:instrText xml:space="preserve"> PAGEREF _Toc950 \h </w:instrText>
        </w:r>
        <w:r>
          <w:rPr>
            <w:rFonts w:ascii="Times New Roman"/>
          </w:rPr>
        </w:r>
        <w:r>
          <w:rPr>
            <w:rFonts w:ascii="Times New Roman"/>
          </w:rPr>
          <w:fldChar w:fldCharType="separate"/>
        </w:r>
        <w:r>
          <w:rPr>
            <w:rFonts w:ascii="Times New Roman"/>
          </w:rPr>
          <w:t>4</w:t>
        </w:r>
        <w:r>
          <w:rPr>
            <w:rFonts w:ascii="Times New Roman"/>
          </w:rPr>
          <w:fldChar w:fldCharType="end"/>
        </w:r>
      </w:hyperlink>
    </w:p>
    <w:p w14:paraId="261A8A89" w14:textId="77777777" w:rsidR="0014798F" w:rsidRDefault="00FE0155">
      <w:pPr>
        <w:pStyle w:val="TOC1"/>
        <w:tabs>
          <w:tab w:val="clear" w:pos="9241"/>
          <w:tab w:val="right" w:leader="dot" w:pos="8548"/>
        </w:tabs>
        <w:spacing w:beforeLines="0" w:before="0" w:afterLines="0" w:after="0" w:line="360" w:lineRule="auto"/>
        <w:rPr>
          <w:rFonts w:ascii="Times New Roman"/>
        </w:rPr>
      </w:pPr>
      <w:hyperlink w:anchor="_Toc31923" w:history="1">
        <w:r>
          <w:rPr>
            <w:rFonts w:ascii="Times New Roman"/>
            <w:szCs w:val="22"/>
          </w:rPr>
          <w:t xml:space="preserve">6 </w:t>
        </w:r>
        <w:r>
          <w:rPr>
            <w:rFonts w:ascii="Times New Roman"/>
            <w:szCs w:val="22"/>
          </w:rPr>
          <w:t>石油开采区土壤染源控制技术</w:t>
        </w:r>
        <w:r>
          <w:rPr>
            <w:rFonts w:ascii="Times New Roman"/>
          </w:rPr>
          <w:tab/>
        </w:r>
        <w:r>
          <w:rPr>
            <w:rFonts w:ascii="Times New Roman"/>
          </w:rPr>
          <w:fldChar w:fldCharType="begin"/>
        </w:r>
        <w:r>
          <w:rPr>
            <w:rFonts w:ascii="Times New Roman"/>
          </w:rPr>
          <w:instrText xml:space="preserve"> PAGEREF _Toc31923 \h </w:instrText>
        </w:r>
        <w:r>
          <w:rPr>
            <w:rFonts w:ascii="Times New Roman"/>
          </w:rPr>
        </w:r>
        <w:r>
          <w:rPr>
            <w:rFonts w:ascii="Times New Roman"/>
          </w:rPr>
          <w:fldChar w:fldCharType="separate"/>
        </w:r>
        <w:r>
          <w:rPr>
            <w:rFonts w:ascii="Times New Roman"/>
          </w:rPr>
          <w:t>5</w:t>
        </w:r>
        <w:r>
          <w:rPr>
            <w:rFonts w:ascii="Times New Roman"/>
          </w:rPr>
          <w:fldChar w:fldCharType="end"/>
        </w:r>
      </w:hyperlink>
    </w:p>
    <w:p w14:paraId="261A8A8A" w14:textId="77777777" w:rsidR="0014798F" w:rsidRDefault="00FE0155">
      <w:pPr>
        <w:pStyle w:val="TOC2"/>
        <w:tabs>
          <w:tab w:val="clear" w:pos="9241"/>
          <w:tab w:val="right" w:leader="dot" w:pos="8548"/>
        </w:tabs>
        <w:spacing w:line="360" w:lineRule="auto"/>
        <w:ind w:firstLineChars="100" w:firstLine="210"/>
        <w:rPr>
          <w:rFonts w:ascii="Times New Roman"/>
        </w:rPr>
      </w:pPr>
      <w:hyperlink w:anchor="_Toc16148" w:history="1">
        <w:r>
          <w:rPr>
            <w:rFonts w:ascii="Times New Roman"/>
            <w:szCs w:val="22"/>
          </w:rPr>
          <w:t xml:space="preserve">6.1 </w:t>
        </w:r>
        <w:r>
          <w:rPr>
            <w:rFonts w:ascii="Times New Roman"/>
            <w:szCs w:val="22"/>
          </w:rPr>
          <w:t>土壤垂直阻隔技术</w:t>
        </w:r>
        <w:r>
          <w:rPr>
            <w:rFonts w:ascii="Times New Roman"/>
          </w:rPr>
          <w:tab/>
        </w:r>
        <w:r>
          <w:rPr>
            <w:rFonts w:ascii="Times New Roman"/>
          </w:rPr>
          <w:fldChar w:fldCharType="begin"/>
        </w:r>
        <w:r>
          <w:rPr>
            <w:rFonts w:ascii="Times New Roman"/>
          </w:rPr>
          <w:instrText xml:space="preserve"> PAGEREF _Toc16148 \h </w:instrText>
        </w:r>
        <w:r>
          <w:rPr>
            <w:rFonts w:ascii="Times New Roman"/>
          </w:rPr>
        </w:r>
        <w:r>
          <w:rPr>
            <w:rFonts w:ascii="Times New Roman"/>
          </w:rPr>
          <w:fldChar w:fldCharType="separate"/>
        </w:r>
        <w:r>
          <w:rPr>
            <w:rFonts w:ascii="Times New Roman"/>
          </w:rPr>
          <w:t>5</w:t>
        </w:r>
        <w:r>
          <w:rPr>
            <w:rFonts w:ascii="Times New Roman"/>
          </w:rPr>
          <w:fldChar w:fldCharType="end"/>
        </w:r>
      </w:hyperlink>
    </w:p>
    <w:p w14:paraId="261A8A8B" w14:textId="77777777" w:rsidR="0014798F" w:rsidRDefault="00FE0155">
      <w:pPr>
        <w:pStyle w:val="TOC2"/>
        <w:tabs>
          <w:tab w:val="clear" w:pos="9241"/>
          <w:tab w:val="right" w:leader="dot" w:pos="8548"/>
        </w:tabs>
        <w:spacing w:line="360" w:lineRule="auto"/>
        <w:ind w:firstLineChars="100" w:firstLine="210"/>
        <w:rPr>
          <w:rFonts w:ascii="Times New Roman"/>
        </w:rPr>
      </w:pPr>
      <w:hyperlink w:anchor="_Toc9109" w:history="1">
        <w:r>
          <w:rPr>
            <w:rFonts w:ascii="Times New Roman"/>
            <w:szCs w:val="22"/>
          </w:rPr>
          <w:t xml:space="preserve">6.2 </w:t>
        </w:r>
        <w:r>
          <w:rPr>
            <w:rFonts w:ascii="Times New Roman"/>
            <w:szCs w:val="22"/>
          </w:rPr>
          <w:t>采油泥沙处理技术</w:t>
        </w:r>
        <w:r>
          <w:rPr>
            <w:rFonts w:ascii="Times New Roman"/>
          </w:rPr>
          <w:tab/>
        </w:r>
        <w:r>
          <w:rPr>
            <w:rFonts w:ascii="Times New Roman"/>
          </w:rPr>
          <w:fldChar w:fldCharType="begin"/>
        </w:r>
        <w:r>
          <w:rPr>
            <w:rFonts w:ascii="Times New Roman"/>
          </w:rPr>
          <w:instrText xml:space="preserve"> PAGEREF _Toc9109 \h </w:instrText>
        </w:r>
        <w:r>
          <w:rPr>
            <w:rFonts w:ascii="Times New Roman"/>
          </w:rPr>
        </w:r>
        <w:r>
          <w:rPr>
            <w:rFonts w:ascii="Times New Roman"/>
          </w:rPr>
          <w:fldChar w:fldCharType="separate"/>
        </w:r>
        <w:r>
          <w:rPr>
            <w:rFonts w:ascii="Times New Roman"/>
          </w:rPr>
          <w:t>6</w:t>
        </w:r>
        <w:r>
          <w:rPr>
            <w:rFonts w:ascii="Times New Roman"/>
          </w:rPr>
          <w:fldChar w:fldCharType="end"/>
        </w:r>
      </w:hyperlink>
    </w:p>
    <w:p w14:paraId="261A8A8C" w14:textId="77777777" w:rsidR="0014798F" w:rsidRDefault="00FE0155">
      <w:pPr>
        <w:pStyle w:val="TOC2"/>
        <w:tabs>
          <w:tab w:val="clear" w:pos="9241"/>
          <w:tab w:val="right" w:leader="dot" w:pos="8548"/>
        </w:tabs>
        <w:spacing w:line="360" w:lineRule="auto"/>
        <w:ind w:firstLineChars="100" w:firstLine="210"/>
        <w:rPr>
          <w:rFonts w:ascii="Times New Roman"/>
        </w:rPr>
      </w:pPr>
      <w:hyperlink w:anchor="_Toc6165" w:history="1">
        <w:r>
          <w:rPr>
            <w:rFonts w:ascii="Times New Roman"/>
            <w:szCs w:val="22"/>
          </w:rPr>
          <w:t xml:space="preserve">6.3 </w:t>
        </w:r>
        <w:r>
          <w:rPr>
            <w:rFonts w:ascii="Times New Roman"/>
            <w:szCs w:val="22"/>
          </w:rPr>
          <w:t>其他固体废弃物控制处理技术</w:t>
        </w:r>
        <w:r>
          <w:rPr>
            <w:rFonts w:ascii="Times New Roman"/>
          </w:rPr>
          <w:tab/>
        </w:r>
        <w:r>
          <w:rPr>
            <w:rFonts w:ascii="Times New Roman"/>
          </w:rPr>
          <w:fldChar w:fldCharType="begin"/>
        </w:r>
        <w:r>
          <w:rPr>
            <w:rFonts w:ascii="Times New Roman"/>
          </w:rPr>
          <w:instrText xml:space="preserve"> PAGEREF _Toc6165 \h </w:instrText>
        </w:r>
        <w:r>
          <w:rPr>
            <w:rFonts w:ascii="Times New Roman"/>
          </w:rPr>
        </w:r>
        <w:r>
          <w:rPr>
            <w:rFonts w:ascii="Times New Roman"/>
          </w:rPr>
          <w:fldChar w:fldCharType="separate"/>
        </w:r>
        <w:r>
          <w:rPr>
            <w:rFonts w:ascii="Times New Roman"/>
          </w:rPr>
          <w:t>7</w:t>
        </w:r>
        <w:r>
          <w:rPr>
            <w:rFonts w:ascii="Times New Roman"/>
          </w:rPr>
          <w:fldChar w:fldCharType="end"/>
        </w:r>
      </w:hyperlink>
    </w:p>
    <w:p w14:paraId="261A8A8D" w14:textId="77777777" w:rsidR="0014798F" w:rsidRDefault="00FE0155">
      <w:pPr>
        <w:pStyle w:val="TOC1"/>
        <w:tabs>
          <w:tab w:val="clear" w:pos="9241"/>
          <w:tab w:val="right" w:leader="dot" w:pos="8548"/>
        </w:tabs>
        <w:spacing w:beforeLines="0" w:before="0" w:afterLines="0" w:after="0" w:line="360" w:lineRule="auto"/>
        <w:rPr>
          <w:rFonts w:ascii="Times New Roman"/>
        </w:rPr>
      </w:pPr>
      <w:hyperlink w:anchor="_Toc9660" w:history="1">
        <w:r>
          <w:rPr>
            <w:rFonts w:ascii="Times New Roman"/>
            <w:szCs w:val="22"/>
          </w:rPr>
          <w:t xml:space="preserve">7 </w:t>
        </w:r>
        <w:r>
          <w:rPr>
            <w:rFonts w:ascii="Times New Roman"/>
            <w:szCs w:val="22"/>
          </w:rPr>
          <w:t>石油开采区地下水污染源控制技术</w:t>
        </w:r>
        <w:r>
          <w:rPr>
            <w:rFonts w:ascii="Times New Roman"/>
          </w:rPr>
          <w:tab/>
        </w:r>
        <w:r>
          <w:rPr>
            <w:rFonts w:ascii="Times New Roman"/>
          </w:rPr>
          <w:fldChar w:fldCharType="begin"/>
        </w:r>
        <w:r>
          <w:rPr>
            <w:rFonts w:ascii="Times New Roman"/>
          </w:rPr>
          <w:instrText xml:space="preserve"> PAGEREF _Toc9660 \h </w:instrText>
        </w:r>
        <w:r>
          <w:rPr>
            <w:rFonts w:ascii="Times New Roman"/>
          </w:rPr>
        </w:r>
        <w:r>
          <w:rPr>
            <w:rFonts w:ascii="Times New Roman"/>
          </w:rPr>
          <w:fldChar w:fldCharType="separate"/>
        </w:r>
        <w:r>
          <w:rPr>
            <w:rFonts w:ascii="Times New Roman"/>
          </w:rPr>
          <w:t>9</w:t>
        </w:r>
        <w:r>
          <w:rPr>
            <w:rFonts w:ascii="Times New Roman"/>
          </w:rPr>
          <w:fldChar w:fldCharType="end"/>
        </w:r>
      </w:hyperlink>
    </w:p>
    <w:p w14:paraId="261A8A8E" w14:textId="77777777" w:rsidR="0014798F" w:rsidRDefault="00FE0155">
      <w:pPr>
        <w:pStyle w:val="TOC2"/>
        <w:tabs>
          <w:tab w:val="clear" w:pos="9241"/>
          <w:tab w:val="right" w:leader="dot" w:pos="8548"/>
        </w:tabs>
        <w:spacing w:line="360" w:lineRule="auto"/>
        <w:ind w:firstLineChars="100" w:firstLine="210"/>
        <w:rPr>
          <w:rFonts w:ascii="Times New Roman"/>
        </w:rPr>
      </w:pPr>
      <w:hyperlink w:anchor="_Toc1983" w:history="1">
        <w:r>
          <w:rPr>
            <w:rFonts w:ascii="Times New Roman"/>
            <w:szCs w:val="22"/>
          </w:rPr>
          <w:t xml:space="preserve">7.1 </w:t>
        </w:r>
        <w:r>
          <w:rPr>
            <w:rFonts w:ascii="Times New Roman"/>
            <w:szCs w:val="22"/>
          </w:rPr>
          <w:t>石油泄漏污染源控制技术</w:t>
        </w:r>
        <w:r>
          <w:rPr>
            <w:rFonts w:ascii="Times New Roman"/>
          </w:rPr>
          <w:tab/>
        </w:r>
        <w:r>
          <w:rPr>
            <w:rFonts w:ascii="Times New Roman"/>
          </w:rPr>
          <w:fldChar w:fldCharType="begin"/>
        </w:r>
        <w:r>
          <w:rPr>
            <w:rFonts w:ascii="Times New Roman"/>
          </w:rPr>
          <w:instrText xml:space="preserve"> PAGEREF _Toc1983 \h </w:instrText>
        </w:r>
        <w:r>
          <w:rPr>
            <w:rFonts w:ascii="Times New Roman"/>
          </w:rPr>
        </w:r>
        <w:r>
          <w:rPr>
            <w:rFonts w:ascii="Times New Roman"/>
          </w:rPr>
          <w:fldChar w:fldCharType="separate"/>
        </w:r>
        <w:r>
          <w:rPr>
            <w:rFonts w:ascii="Times New Roman"/>
          </w:rPr>
          <w:t>9</w:t>
        </w:r>
        <w:r>
          <w:rPr>
            <w:rFonts w:ascii="Times New Roman"/>
          </w:rPr>
          <w:fldChar w:fldCharType="end"/>
        </w:r>
      </w:hyperlink>
    </w:p>
    <w:p w14:paraId="261A8A8F" w14:textId="77777777" w:rsidR="0014798F" w:rsidRDefault="00FE0155">
      <w:pPr>
        <w:pStyle w:val="TOC2"/>
        <w:tabs>
          <w:tab w:val="clear" w:pos="9241"/>
          <w:tab w:val="right" w:leader="dot" w:pos="8548"/>
        </w:tabs>
        <w:spacing w:line="360" w:lineRule="auto"/>
        <w:ind w:firstLineChars="100" w:firstLine="210"/>
        <w:rPr>
          <w:rFonts w:ascii="Times New Roman"/>
        </w:rPr>
      </w:pPr>
      <w:hyperlink w:anchor="_Toc7041" w:history="1">
        <w:r>
          <w:rPr>
            <w:rFonts w:ascii="Times New Roman"/>
            <w:szCs w:val="22"/>
          </w:rPr>
          <w:t xml:space="preserve">7.2 </w:t>
        </w:r>
        <w:r>
          <w:rPr>
            <w:rFonts w:ascii="Times New Roman"/>
            <w:szCs w:val="22"/>
          </w:rPr>
          <w:t>油田污水污染源控制技术</w:t>
        </w:r>
        <w:r>
          <w:rPr>
            <w:rFonts w:ascii="Times New Roman"/>
          </w:rPr>
          <w:tab/>
        </w:r>
        <w:r>
          <w:rPr>
            <w:rFonts w:ascii="Times New Roman"/>
          </w:rPr>
          <w:fldChar w:fldCharType="begin"/>
        </w:r>
        <w:r>
          <w:rPr>
            <w:rFonts w:ascii="Times New Roman"/>
          </w:rPr>
          <w:instrText xml:space="preserve"> PAGEREF _Toc7041 \h </w:instrText>
        </w:r>
        <w:r>
          <w:rPr>
            <w:rFonts w:ascii="Times New Roman"/>
          </w:rPr>
        </w:r>
        <w:r>
          <w:rPr>
            <w:rFonts w:ascii="Times New Roman"/>
          </w:rPr>
          <w:fldChar w:fldCharType="separate"/>
        </w:r>
        <w:r>
          <w:rPr>
            <w:rFonts w:ascii="Times New Roman"/>
          </w:rPr>
          <w:t>11</w:t>
        </w:r>
        <w:r>
          <w:rPr>
            <w:rFonts w:ascii="Times New Roman"/>
          </w:rPr>
          <w:fldChar w:fldCharType="end"/>
        </w:r>
      </w:hyperlink>
    </w:p>
    <w:p w14:paraId="261A8A90" w14:textId="77777777" w:rsidR="0014798F" w:rsidRDefault="00FE0155">
      <w:pPr>
        <w:pStyle w:val="TOC1"/>
        <w:tabs>
          <w:tab w:val="clear" w:pos="9241"/>
          <w:tab w:val="right" w:leader="dot" w:pos="8548"/>
        </w:tabs>
        <w:spacing w:beforeLines="0" w:before="0" w:afterLines="0" w:after="0" w:line="360" w:lineRule="auto"/>
        <w:rPr>
          <w:rFonts w:ascii="Times New Roman"/>
        </w:rPr>
      </w:pPr>
      <w:hyperlink w:anchor="_Toc25290" w:history="1">
        <w:r>
          <w:rPr>
            <w:rFonts w:ascii="Times New Roman"/>
            <w:szCs w:val="22"/>
          </w:rPr>
          <w:t xml:space="preserve">8  </w:t>
        </w:r>
        <w:r>
          <w:rPr>
            <w:rFonts w:ascii="Times New Roman"/>
            <w:szCs w:val="22"/>
          </w:rPr>
          <w:t>环境管理与效果评估</w:t>
        </w:r>
        <w:r>
          <w:rPr>
            <w:rFonts w:ascii="Times New Roman"/>
          </w:rPr>
          <w:tab/>
        </w:r>
        <w:r>
          <w:rPr>
            <w:rFonts w:ascii="Times New Roman"/>
          </w:rPr>
          <w:fldChar w:fldCharType="begin"/>
        </w:r>
        <w:r>
          <w:rPr>
            <w:rFonts w:ascii="Times New Roman"/>
          </w:rPr>
          <w:instrText xml:space="preserve"> PAGEREF _Toc25290 \h </w:instrText>
        </w:r>
        <w:r>
          <w:rPr>
            <w:rFonts w:ascii="Times New Roman"/>
          </w:rPr>
        </w:r>
        <w:r>
          <w:rPr>
            <w:rFonts w:ascii="Times New Roman"/>
          </w:rPr>
          <w:fldChar w:fldCharType="separate"/>
        </w:r>
        <w:r>
          <w:rPr>
            <w:rFonts w:ascii="Times New Roman"/>
          </w:rPr>
          <w:t>15</w:t>
        </w:r>
        <w:r>
          <w:rPr>
            <w:rFonts w:ascii="Times New Roman"/>
          </w:rPr>
          <w:fldChar w:fldCharType="end"/>
        </w:r>
      </w:hyperlink>
    </w:p>
    <w:p w14:paraId="261A8A91" w14:textId="77777777" w:rsidR="0014798F" w:rsidRDefault="00FE0155">
      <w:pPr>
        <w:pStyle w:val="TOC2"/>
        <w:tabs>
          <w:tab w:val="clear" w:pos="9241"/>
          <w:tab w:val="right" w:leader="dot" w:pos="8548"/>
        </w:tabs>
        <w:spacing w:line="360" w:lineRule="auto"/>
        <w:ind w:firstLineChars="100" w:firstLine="210"/>
        <w:rPr>
          <w:rFonts w:ascii="Times New Roman"/>
        </w:rPr>
      </w:pPr>
      <w:hyperlink w:anchor="_Toc13684" w:history="1">
        <w:r>
          <w:rPr>
            <w:rFonts w:ascii="Times New Roman"/>
            <w:szCs w:val="22"/>
          </w:rPr>
          <w:t xml:space="preserve">8.1 </w:t>
        </w:r>
        <w:r>
          <w:rPr>
            <w:rFonts w:ascii="Times New Roman"/>
            <w:szCs w:val="22"/>
          </w:rPr>
          <w:t>日常隐患排查技术与制度</w:t>
        </w:r>
        <w:r>
          <w:rPr>
            <w:rFonts w:ascii="Times New Roman"/>
          </w:rPr>
          <w:tab/>
        </w:r>
        <w:r>
          <w:rPr>
            <w:rFonts w:ascii="Times New Roman"/>
          </w:rPr>
          <w:fldChar w:fldCharType="begin"/>
        </w:r>
        <w:r>
          <w:rPr>
            <w:rFonts w:ascii="Times New Roman"/>
          </w:rPr>
          <w:instrText xml:space="preserve"> PAGEREF _Toc13684 \h </w:instrText>
        </w:r>
        <w:r>
          <w:rPr>
            <w:rFonts w:ascii="Times New Roman"/>
          </w:rPr>
        </w:r>
        <w:r>
          <w:rPr>
            <w:rFonts w:ascii="Times New Roman"/>
          </w:rPr>
          <w:fldChar w:fldCharType="separate"/>
        </w:r>
        <w:r>
          <w:rPr>
            <w:rFonts w:ascii="Times New Roman"/>
          </w:rPr>
          <w:t>15</w:t>
        </w:r>
        <w:r>
          <w:rPr>
            <w:rFonts w:ascii="Times New Roman"/>
          </w:rPr>
          <w:fldChar w:fldCharType="end"/>
        </w:r>
      </w:hyperlink>
    </w:p>
    <w:p w14:paraId="261A8A92" w14:textId="77777777" w:rsidR="0014798F" w:rsidRDefault="00FE0155">
      <w:pPr>
        <w:pStyle w:val="TOC2"/>
        <w:tabs>
          <w:tab w:val="clear" w:pos="9241"/>
          <w:tab w:val="right" w:leader="dot" w:pos="8548"/>
        </w:tabs>
        <w:spacing w:line="360" w:lineRule="auto"/>
        <w:ind w:firstLineChars="100" w:firstLine="210"/>
        <w:rPr>
          <w:rFonts w:ascii="Times New Roman"/>
        </w:rPr>
      </w:pPr>
      <w:hyperlink w:anchor="_Toc29525" w:history="1">
        <w:r>
          <w:rPr>
            <w:rFonts w:ascii="Times New Roman"/>
            <w:szCs w:val="22"/>
          </w:rPr>
          <w:t xml:space="preserve">8.2 </w:t>
        </w:r>
        <w:r>
          <w:rPr>
            <w:rFonts w:ascii="Times New Roman"/>
            <w:szCs w:val="22"/>
          </w:rPr>
          <w:t>环境管理要求</w:t>
        </w:r>
        <w:r>
          <w:rPr>
            <w:rFonts w:ascii="Times New Roman"/>
          </w:rPr>
          <w:tab/>
        </w:r>
        <w:r>
          <w:rPr>
            <w:rFonts w:ascii="Times New Roman"/>
          </w:rPr>
          <w:fldChar w:fldCharType="begin"/>
        </w:r>
        <w:r>
          <w:rPr>
            <w:rFonts w:ascii="Times New Roman"/>
          </w:rPr>
          <w:instrText xml:space="preserve"> PAGEREF _Toc29525 \h </w:instrText>
        </w:r>
        <w:r>
          <w:rPr>
            <w:rFonts w:ascii="Times New Roman"/>
          </w:rPr>
        </w:r>
        <w:r>
          <w:rPr>
            <w:rFonts w:ascii="Times New Roman"/>
          </w:rPr>
          <w:fldChar w:fldCharType="separate"/>
        </w:r>
        <w:r>
          <w:rPr>
            <w:rFonts w:ascii="Times New Roman"/>
          </w:rPr>
          <w:t>16</w:t>
        </w:r>
        <w:r>
          <w:rPr>
            <w:rFonts w:ascii="Times New Roman"/>
          </w:rPr>
          <w:fldChar w:fldCharType="end"/>
        </w:r>
      </w:hyperlink>
    </w:p>
    <w:p w14:paraId="261A8A93" w14:textId="77777777" w:rsidR="0014798F" w:rsidRDefault="00FE0155">
      <w:pPr>
        <w:pStyle w:val="TOC2"/>
        <w:tabs>
          <w:tab w:val="clear" w:pos="9241"/>
          <w:tab w:val="right" w:leader="dot" w:pos="8548"/>
        </w:tabs>
        <w:spacing w:line="360" w:lineRule="auto"/>
        <w:ind w:firstLineChars="100" w:firstLine="210"/>
        <w:rPr>
          <w:rFonts w:ascii="Times New Roman"/>
        </w:rPr>
      </w:pPr>
      <w:hyperlink w:anchor="_Toc18882" w:history="1">
        <w:r>
          <w:rPr>
            <w:rFonts w:ascii="Times New Roman"/>
            <w:szCs w:val="22"/>
          </w:rPr>
          <w:t xml:space="preserve">8.3 </w:t>
        </w:r>
        <w:r>
          <w:rPr>
            <w:rFonts w:ascii="Times New Roman"/>
            <w:szCs w:val="22"/>
          </w:rPr>
          <w:t>环境监测点位</w:t>
        </w:r>
        <w:r>
          <w:rPr>
            <w:rFonts w:ascii="Times New Roman"/>
          </w:rPr>
          <w:tab/>
        </w:r>
        <w:r>
          <w:rPr>
            <w:rFonts w:ascii="Times New Roman"/>
          </w:rPr>
          <w:fldChar w:fldCharType="begin"/>
        </w:r>
        <w:r>
          <w:rPr>
            <w:rFonts w:ascii="Times New Roman"/>
          </w:rPr>
          <w:instrText xml:space="preserve"> PAGEREF _Toc18882 \h </w:instrText>
        </w:r>
        <w:r>
          <w:rPr>
            <w:rFonts w:ascii="Times New Roman"/>
          </w:rPr>
        </w:r>
        <w:r>
          <w:rPr>
            <w:rFonts w:ascii="Times New Roman"/>
          </w:rPr>
          <w:fldChar w:fldCharType="separate"/>
        </w:r>
        <w:r>
          <w:rPr>
            <w:rFonts w:ascii="Times New Roman"/>
          </w:rPr>
          <w:t>16</w:t>
        </w:r>
        <w:r>
          <w:rPr>
            <w:rFonts w:ascii="Times New Roman"/>
          </w:rPr>
          <w:fldChar w:fldCharType="end"/>
        </w:r>
      </w:hyperlink>
    </w:p>
    <w:p w14:paraId="261A8A94" w14:textId="77777777" w:rsidR="0014798F" w:rsidRDefault="00FE0155">
      <w:pPr>
        <w:pStyle w:val="TOC2"/>
        <w:tabs>
          <w:tab w:val="clear" w:pos="9241"/>
          <w:tab w:val="right" w:leader="dot" w:pos="8548"/>
        </w:tabs>
        <w:spacing w:line="360" w:lineRule="auto"/>
        <w:ind w:firstLineChars="100" w:firstLine="210"/>
        <w:rPr>
          <w:rFonts w:ascii="Times New Roman"/>
        </w:rPr>
      </w:pPr>
      <w:hyperlink w:anchor="_Toc16705" w:history="1">
        <w:r>
          <w:rPr>
            <w:rFonts w:ascii="Times New Roman"/>
            <w:szCs w:val="22"/>
          </w:rPr>
          <w:t xml:space="preserve">8.4 </w:t>
        </w:r>
        <w:r>
          <w:rPr>
            <w:rFonts w:ascii="Times New Roman"/>
            <w:szCs w:val="22"/>
          </w:rPr>
          <w:t>环境监测指标</w:t>
        </w:r>
        <w:r>
          <w:rPr>
            <w:rFonts w:ascii="Times New Roman"/>
          </w:rPr>
          <w:tab/>
        </w:r>
        <w:r>
          <w:rPr>
            <w:rFonts w:ascii="Times New Roman"/>
          </w:rPr>
          <w:fldChar w:fldCharType="begin"/>
        </w:r>
        <w:r>
          <w:rPr>
            <w:rFonts w:ascii="Times New Roman"/>
          </w:rPr>
          <w:instrText xml:space="preserve"> PAGEREF _Toc16705 \h </w:instrText>
        </w:r>
        <w:r>
          <w:rPr>
            <w:rFonts w:ascii="Times New Roman"/>
          </w:rPr>
        </w:r>
        <w:r>
          <w:rPr>
            <w:rFonts w:ascii="Times New Roman"/>
          </w:rPr>
          <w:fldChar w:fldCharType="separate"/>
        </w:r>
        <w:r>
          <w:rPr>
            <w:rFonts w:ascii="Times New Roman"/>
          </w:rPr>
          <w:t>17</w:t>
        </w:r>
        <w:r>
          <w:rPr>
            <w:rFonts w:ascii="Times New Roman"/>
          </w:rPr>
          <w:fldChar w:fldCharType="end"/>
        </w:r>
      </w:hyperlink>
    </w:p>
    <w:p w14:paraId="261A8A95" w14:textId="77777777" w:rsidR="0014798F" w:rsidRDefault="00FE0155">
      <w:pPr>
        <w:pStyle w:val="TOC2"/>
        <w:tabs>
          <w:tab w:val="clear" w:pos="9241"/>
          <w:tab w:val="right" w:leader="dot" w:pos="8548"/>
        </w:tabs>
        <w:spacing w:line="360" w:lineRule="auto"/>
        <w:ind w:firstLineChars="100" w:firstLine="210"/>
        <w:rPr>
          <w:rFonts w:ascii="Times New Roman"/>
        </w:rPr>
      </w:pPr>
      <w:hyperlink w:anchor="_Toc10658" w:history="1">
        <w:r>
          <w:rPr>
            <w:rFonts w:ascii="Times New Roman"/>
            <w:szCs w:val="22"/>
          </w:rPr>
          <w:t xml:space="preserve">8.5 </w:t>
        </w:r>
        <w:r>
          <w:rPr>
            <w:rFonts w:ascii="Times New Roman"/>
            <w:szCs w:val="22"/>
          </w:rPr>
          <w:t>效果评估</w:t>
        </w:r>
        <w:r>
          <w:rPr>
            <w:rFonts w:ascii="Times New Roman"/>
          </w:rPr>
          <w:tab/>
        </w:r>
        <w:r>
          <w:rPr>
            <w:rFonts w:ascii="Times New Roman"/>
          </w:rPr>
          <w:fldChar w:fldCharType="begin"/>
        </w:r>
        <w:r>
          <w:rPr>
            <w:rFonts w:ascii="Times New Roman"/>
          </w:rPr>
          <w:instrText xml:space="preserve"> PAGEREF _Toc10658 \h </w:instrText>
        </w:r>
        <w:r>
          <w:rPr>
            <w:rFonts w:ascii="Times New Roman"/>
          </w:rPr>
        </w:r>
        <w:r>
          <w:rPr>
            <w:rFonts w:ascii="Times New Roman"/>
          </w:rPr>
          <w:fldChar w:fldCharType="separate"/>
        </w:r>
        <w:r>
          <w:rPr>
            <w:rFonts w:ascii="Times New Roman"/>
          </w:rPr>
          <w:t>18</w:t>
        </w:r>
        <w:r>
          <w:rPr>
            <w:rFonts w:ascii="Times New Roman"/>
          </w:rPr>
          <w:fldChar w:fldCharType="end"/>
        </w:r>
      </w:hyperlink>
    </w:p>
    <w:p w14:paraId="261A8A96" w14:textId="77777777" w:rsidR="0014798F" w:rsidRDefault="00FE0155">
      <w:pPr>
        <w:tabs>
          <w:tab w:val="right" w:leader="dot" w:pos="8222"/>
          <w:tab w:val="right" w:leader="dot" w:pos="8505"/>
        </w:tabs>
        <w:spacing w:line="360" w:lineRule="auto"/>
        <w:sectPr w:rsidR="0014798F">
          <w:footerReference w:type="even" r:id="rId12"/>
          <w:footerReference w:type="default" r:id="rId13"/>
          <w:footerReference w:type="first" r:id="rId14"/>
          <w:pgSz w:w="11906" w:h="16838"/>
          <w:pgMar w:top="1440" w:right="1558" w:bottom="1440" w:left="1800" w:header="993" w:footer="1134" w:gutter="0"/>
          <w:pgNumType w:fmt="upperRoman" w:start="1"/>
          <w:cols w:space="720"/>
          <w:formProt w:val="0"/>
          <w:titlePg/>
          <w:docGrid w:type="linesAndChars" w:linePitch="312"/>
        </w:sectPr>
      </w:pPr>
      <w:r>
        <w:rPr>
          <w:lang w:val="zh-CN"/>
        </w:rPr>
        <w:fldChar w:fldCharType="end"/>
      </w:r>
      <w:bookmarkStart w:id="5" w:name="_Toc67064113"/>
    </w:p>
    <w:p w14:paraId="261A8A97" w14:textId="77777777" w:rsidR="0014798F" w:rsidRDefault="00FE0155">
      <w:pPr>
        <w:pStyle w:val="aa"/>
        <w:spacing w:before="0" w:after="0" w:line="300" w:lineRule="auto"/>
        <w:rPr>
          <w:rFonts w:ascii="Times New Roman"/>
        </w:rPr>
      </w:pPr>
      <w:bookmarkStart w:id="6" w:name="_Toc27027"/>
      <w:bookmarkStart w:id="7" w:name="_Toc32621"/>
      <w:bookmarkStart w:id="8" w:name="_Toc171804403"/>
      <w:r>
        <w:rPr>
          <w:rFonts w:ascii="Times New Roman"/>
        </w:rPr>
        <w:lastRenderedPageBreak/>
        <w:t>前</w:t>
      </w:r>
      <w:bookmarkStart w:id="9" w:name="BKQY"/>
      <w:r>
        <w:rPr>
          <w:rFonts w:ascii="Times New Roman"/>
        </w:rPr>
        <w:t>  </w:t>
      </w:r>
      <w:r>
        <w:rPr>
          <w:rFonts w:ascii="Times New Roman"/>
        </w:rPr>
        <w:t>言</w:t>
      </w:r>
      <w:bookmarkEnd w:id="5"/>
      <w:bookmarkEnd w:id="6"/>
      <w:bookmarkEnd w:id="7"/>
      <w:bookmarkEnd w:id="8"/>
      <w:bookmarkEnd w:id="9"/>
    </w:p>
    <w:p w14:paraId="261A8A98" w14:textId="77777777" w:rsidR="0014798F" w:rsidRDefault="00FE0155">
      <w:pPr>
        <w:pStyle w:val="ab"/>
        <w:spacing w:line="360" w:lineRule="auto"/>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部分：标准化文件的结构和起草规则》给出的规则起草。</w:t>
      </w:r>
    </w:p>
    <w:p w14:paraId="261A8A99" w14:textId="77777777" w:rsidR="0014798F" w:rsidRDefault="00FE0155">
      <w:pPr>
        <w:pStyle w:val="ab"/>
        <w:spacing w:line="360" w:lineRule="auto"/>
        <w:rPr>
          <w:rFonts w:ascii="Times New Roman"/>
        </w:rPr>
      </w:pPr>
      <w:r>
        <w:rPr>
          <w:rFonts w:ascii="Times New Roman"/>
        </w:rPr>
        <w:t>本文件由北京师范大学珠海校区提出。</w:t>
      </w:r>
    </w:p>
    <w:p w14:paraId="261A8A9A" w14:textId="77777777" w:rsidR="0014798F" w:rsidRDefault="00FE0155">
      <w:pPr>
        <w:pStyle w:val="ab"/>
        <w:spacing w:line="360" w:lineRule="auto"/>
        <w:rPr>
          <w:rFonts w:ascii="Times New Roman"/>
        </w:rPr>
      </w:pPr>
      <w:r>
        <w:rPr>
          <w:rFonts w:ascii="Times New Roman"/>
        </w:rPr>
        <w:t>本文件由中国疏浚协会团体标准专业委员会归口。</w:t>
      </w:r>
    </w:p>
    <w:p w14:paraId="261A8A9B" w14:textId="77777777" w:rsidR="0014798F" w:rsidRDefault="00FE0155">
      <w:pPr>
        <w:pStyle w:val="ab"/>
        <w:spacing w:line="360" w:lineRule="auto"/>
        <w:rPr>
          <w:rFonts w:ascii="Times New Roman"/>
        </w:rPr>
      </w:pPr>
      <w:r>
        <w:rPr>
          <w:rFonts w:ascii="Times New Roman"/>
        </w:rPr>
        <w:t>请注意本文件的某些内容可能涉及专利。本文件的发布机构不承担识别专利的责任。</w:t>
      </w:r>
    </w:p>
    <w:p w14:paraId="261A8A9C" w14:textId="77777777" w:rsidR="0014798F" w:rsidRDefault="00FE0155">
      <w:pPr>
        <w:pStyle w:val="ab"/>
        <w:spacing w:line="360" w:lineRule="auto"/>
        <w:rPr>
          <w:rFonts w:ascii="Times New Roman"/>
        </w:rPr>
      </w:pPr>
      <w:r>
        <w:rPr>
          <w:rFonts w:ascii="Times New Roman"/>
        </w:rPr>
        <w:t>本文件起草单位：北京师范大学珠海校区。</w:t>
      </w:r>
    </w:p>
    <w:p w14:paraId="261A8A9D" w14:textId="77777777" w:rsidR="0014798F" w:rsidRDefault="00FE0155">
      <w:pPr>
        <w:spacing w:line="360" w:lineRule="auto"/>
        <w:ind w:firstLineChars="200" w:firstLine="420"/>
      </w:pPr>
      <w:bookmarkStart w:id="10" w:name="_Hlk169537054"/>
      <w:r>
        <w:t>本文件主要起草人：</w:t>
      </w:r>
      <w:bookmarkStart w:id="11" w:name="_Toc112745624"/>
      <w:bookmarkStart w:id="12" w:name="_Toc35419329"/>
      <w:bookmarkStart w:id="13" w:name="_Toc35419207"/>
      <w:bookmarkEnd w:id="10"/>
      <w:r>
        <w:t>王圣瑞、范福强、豆俊峰、张海涵、董越、周春羊、林慰。</w:t>
      </w:r>
    </w:p>
    <w:p w14:paraId="261A8A9E" w14:textId="77777777" w:rsidR="0014798F" w:rsidRDefault="0014798F">
      <w:pPr>
        <w:pStyle w:val="ab"/>
        <w:spacing w:line="300" w:lineRule="auto"/>
        <w:ind w:firstLineChars="0" w:firstLine="0"/>
        <w:rPr>
          <w:rFonts w:ascii="Times New Roman"/>
        </w:rPr>
        <w:sectPr w:rsidR="0014798F">
          <w:footerReference w:type="even" r:id="rId15"/>
          <w:footerReference w:type="default" r:id="rId16"/>
          <w:pgSz w:w="11906" w:h="16838"/>
          <w:pgMar w:top="1440" w:right="1558" w:bottom="1440" w:left="1800" w:header="993" w:footer="1134" w:gutter="0"/>
          <w:pgNumType w:fmt="upperRoman"/>
          <w:cols w:space="720"/>
          <w:formProt w:val="0"/>
          <w:docGrid w:type="linesAndChars" w:linePitch="312"/>
        </w:sectPr>
      </w:pPr>
    </w:p>
    <w:bookmarkEnd w:id="11"/>
    <w:p w14:paraId="261A8A9F" w14:textId="77777777" w:rsidR="0014798F" w:rsidRDefault="00FE0155">
      <w:pPr>
        <w:spacing w:line="300" w:lineRule="auto"/>
        <w:jc w:val="center"/>
        <w:rPr>
          <w:rFonts w:eastAsia="黑体"/>
          <w:sz w:val="32"/>
          <w:szCs w:val="32"/>
        </w:rPr>
      </w:pPr>
      <w:r>
        <w:rPr>
          <w:rFonts w:ascii="黑体" w:eastAsia="黑体" w:hAnsi="黑体" w:hint="eastAsia"/>
          <w:sz w:val="32"/>
          <w:szCs w:val="32"/>
        </w:rPr>
        <w:lastRenderedPageBreak/>
        <w:t>石油开采土壤与地下水污染源控制技术指南</w:t>
      </w:r>
    </w:p>
    <w:p w14:paraId="261A8AA0" w14:textId="77777777" w:rsidR="0014798F" w:rsidRDefault="00FE0155">
      <w:pPr>
        <w:pStyle w:val="a"/>
        <w:ind w:rightChars="539" w:right="1132"/>
        <w:outlineLvl w:val="0"/>
        <w:rPr>
          <w:rFonts w:ascii="Times New Roman"/>
        </w:rPr>
      </w:pPr>
      <w:bookmarkStart w:id="14" w:name="_Toc35419332"/>
      <w:bookmarkStart w:id="15" w:name="_Toc35419210"/>
      <w:bookmarkStart w:id="16" w:name="_Toc112684533"/>
      <w:bookmarkStart w:id="17" w:name="_Toc112675147"/>
      <w:bookmarkStart w:id="18" w:name="_Toc1149"/>
      <w:bookmarkStart w:id="19" w:name="_Toc20352"/>
      <w:bookmarkStart w:id="20" w:name="_Toc171804404"/>
      <w:bookmarkStart w:id="21" w:name="_Toc311838836"/>
      <w:bookmarkStart w:id="22" w:name="_Toc330278009"/>
      <w:bookmarkStart w:id="23" w:name="_Toc318393987"/>
      <w:bookmarkStart w:id="24" w:name="_Toc311980744"/>
      <w:bookmarkStart w:id="25" w:name="_Toc311997968"/>
      <w:bookmarkStart w:id="26" w:name="_Toc311998355"/>
      <w:bookmarkStart w:id="27" w:name="_Toc23956"/>
      <w:bookmarkStart w:id="28" w:name="_Toc311838755"/>
      <w:bookmarkStart w:id="29" w:name="_Toc318550212"/>
      <w:bookmarkStart w:id="30" w:name="_Toc311998108"/>
      <w:bookmarkStart w:id="31" w:name="_Toc311981556"/>
      <w:bookmarkStart w:id="32" w:name="_Toc318394056"/>
      <w:bookmarkStart w:id="33" w:name="_Toc30578"/>
      <w:bookmarkStart w:id="34" w:name="_Toc311980872"/>
      <w:bookmarkStart w:id="35" w:name="_Toc318316643"/>
      <w:bookmarkStart w:id="36" w:name="_Toc339271075"/>
      <w:bookmarkStart w:id="37" w:name="_Toc339371634"/>
      <w:bookmarkStart w:id="38" w:name="_Toc35419213"/>
      <w:bookmarkStart w:id="39" w:name="_Toc340476958"/>
      <w:bookmarkStart w:id="40" w:name="_Toc35419335"/>
      <w:bookmarkEnd w:id="12"/>
      <w:bookmarkEnd w:id="13"/>
      <w:bookmarkEnd w:id="14"/>
      <w:bookmarkEnd w:id="15"/>
      <w:bookmarkEnd w:id="16"/>
      <w:bookmarkEnd w:id="17"/>
      <w:r>
        <w:rPr>
          <w:rFonts w:ascii="Times New Roman"/>
        </w:rPr>
        <w:t>范围</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61A8AA1" w14:textId="77777777" w:rsidR="0014798F" w:rsidRDefault="00FE0155">
      <w:pPr>
        <w:pStyle w:val="1"/>
        <w:ind w:firstLineChars="200" w:firstLine="420"/>
        <w:rPr>
          <w:szCs w:val="21"/>
        </w:rPr>
      </w:pPr>
      <w:r>
        <w:rPr>
          <w:szCs w:val="21"/>
        </w:rPr>
        <w:t>本</w:t>
      </w:r>
      <w:r>
        <w:rPr>
          <w:rFonts w:hint="eastAsia"/>
          <w:szCs w:val="21"/>
        </w:rPr>
        <w:t>文件</w:t>
      </w:r>
      <w:r>
        <w:rPr>
          <w:szCs w:val="21"/>
        </w:rPr>
        <w:t>规定了石油开采区土壤地下水污染源控制的原则、工作内容、流程和技术要求</w:t>
      </w:r>
      <w:r>
        <w:rPr>
          <w:rFonts w:hint="eastAsia"/>
          <w:szCs w:val="21"/>
        </w:rPr>
        <w:t>。</w:t>
      </w:r>
    </w:p>
    <w:p w14:paraId="261A8AA2" w14:textId="77777777" w:rsidR="0014798F" w:rsidRDefault="00FE0155">
      <w:pPr>
        <w:pStyle w:val="1"/>
        <w:ind w:firstLineChars="200" w:firstLine="420"/>
        <w:rPr>
          <w:szCs w:val="21"/>
        </w:rPr>
      </w:pPr>
      <w:r>
        <w:rPr>
          <w:rFonts w:hint="eastAsia"/>
          <w:szCs w:val="21"/>
        </w:rPr>
        <w:t>本文件</w:t>
      </w:r>
      <w:r>
        <w:rPr>
          <w:szCs w:val="21"/>
        </w:rPr>
        <w:t>适用于石油开采区土壤地下水污染源控制。</w:t>
      </w:r>
    </w:p>
    <w:p w14:paraId="261A8AA3" w14:textId="77777777" w:rsidR="0014798F" w:rsidRDefault="00FE0155">
      <w:pPr>
        <w:pStyle w:val="1"/>
        <w:ind w:firstLineChars="200" w:firstLine="420"/>
        <w:rPr>
          <w:szCs w:val="21"/>
        </w:rPr>
      </w:pPr>
      <w:r>
        <w:rPr>
          <w:szCs w:val="21"/>
        </w:rPr>
        <w:t>本</w:t>
      </w:r>
      <w:r>
        <w:rPr>
          <w:rFonts w:hint="eastAsia"/>
          <w:szCs w:val="21"/>
        </w:rPr>
        <w:t>文件</w:t>
      </w:r>
      <w:r>
        <w:rPr>
          <w:szCs w:val="21"/>
        </w:rPr>
        <w:t>不适用于海上石油开采区污染源的控制。</w:t>
      </w:r>
    </w:p>
    <w:p w14:paraId="261A8AA4" w14:textId="77777777" w:rsidR="0014798F" w:rsidRDefault="00FE0155">
      <w:pPr>
        <w:pStyle w:val="a"/>
        <w:tabs>
          <w:tab w:val="left" w:pos="9355"/>
        </w:tabs>
        <w:outlineLvl w:val="0"/>
        <w:rPr>
          <w:rFonts w:ascii="Times New Roman"/>
        </w:rPr>
      </w:pPr>
      <w:bookmarkStart w:id="41" w:name="_Toc318316644"/>
      <w:bookmarkStart w:id="42" w:name="_Toc171804405"/>
      <w:bookmarkStart w:id="43" w:name="_Toc311998356"/>
      <w:bookmarkStart w:id="44" w:name="_Toc23875"/>
      <w:bookmarkStart w:id="45" w:name="_Toc311981557"/>
      <w:bookmarkStart w:id="46" w:name="_Toc318550213"/>
      <w:bookmarkStart w:id="47" w:name="_Toc26377"/>
      <w:bookmarkStart w:id="48" w:name="_Toc311980873"/>
      <w:bookmarkStart w:id="49" w:name="_Toc311838837"/>
      <w:bookmarkStart w:id="50" w:name="_Toc318394057"/>
      <w:bookmarkStart w:id="51" w:name="_Toc311997969"/>
      <w:bookmarkStart w:id="52" w:name="_Toc311998109"/>
      <w:bookmarkStart w:id="53" w:name="_Toc318393988"/>
      <w:bookmarkStart w:id="54" w:name="_Toc18961"/>
      <w:bookmarkStart w:id="55" w:name="_Toc311980745"/>
      <w:bookmarkStart w:id="56" w:name="_Toc311838756"/>
      <w:bookmarkStart w:id="57" w:name="_Toc330278010"/>
      <w:bookmarkStart w:id="58" w:name="_Toc21985"/>
      <w:r>
        <w:rPr>
          <w:rFonts w:ascii="Times New Roman"/>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61A8AA5" w14:textId="77777777" w:rsidR="0014798F" w:rsidRDefault="00FE0155">
      <w:pPr>
        <w:pStyle w:val="1"/>
        <w:ind w:firstLineChars="200" w:firstLine="420"/>
      </w:pPr>
      <w:r>
        <w:rPr>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61A8AA6" w14:textId="77777777" w:rsidR="0014798F" w:rsidRDefault="00FE0155">
      <w:pPr>
        <w:pStyle w:val="1"/>
        <w:ind w:firstLineChars="200" w:firstLine="420"/>
      </w:pPr>
      <w:bookmarkStart w:id="59" w:name="_Toc311838838"/>
      <w:bookmarkStart w:id="60" w:name="_Toc311980874"/>
      <w:bookmarkStart w:id="61" w:name="_Toc311998357"/>
      <w:bookmarkStart w:id="62" w:name="_Toc8567"/>
      <w:bookmarkStart w:id="63" w:name="_Toc311998110"/>
      <w:bookmarkStart w:id="64" w:name="_Toc318393989"/>
      <w:bookmarkStart w:id="65" w:name="_Toc311838757"/>
      <w:bookmarkStart w:id="66" w:name="_Toc311981558"/>
      <w:bookmarkStart w:id="67" w:name="_Toc318394058"/>
      <w:bookmarkStart w:id="68" w:name="_Toc311980746"/>
      <w:bookmarkStart w:id="69" w:name="_Toc318316645"/>
      <w:bookmarkStart w:id="70" w:name="_Toc311997970"/>
      <w:bookmarkStart w:id="71" w:name="_Toc318550214"/>
      <w:bookmarkStart w:id="72" w:name="_Toc330278011"/>
      <w:bookmarkStart w:id="73" w:name="_Toc3188"/>
      <w:r>
        <w:t xml:space="preserve">GB 3838         </w:t>
      </w:r>
      <w:r>
        <w:t>地表水环境质量标准</w:t>
      </w:r>
    </w:p>
    <w:p w14:paraId="261A8AA7" w14:textId="77777777" w:rsidR="0014798F" w:rsidRDefault="00FE0155">
      <w:pPr>
        <w:pStyle w:val="1"/>
        <w:ind w:firstLineChars="200" w:firstLine="420"/>
      </w:pPr>
      <w:r>
        <w:t xml:space="preserve">GB/T 14848      </w:t>
      </w:r>
      <w:r>
        <w:t>地下水环境质量标准</w:t>
      </w:r>
    </w:p>
    <w:p w14:paraId="261A8AA8" w14:textId="77777777" w:rsidR="0014798F" w:rsidRDefault="00FE0155">
      <w:pPr>
        <w:pStyle w:val="1"/>
        <w:ind w:firstLineChars="200" w:firstLine="420"/>
      </w:pPr>
      <w:r>
        <w:rPr>
          <w:rFonts w:hint="eastAsia"/>
          <w:lang w:val="en-US"/>
        </w:rPr>
        <w:t xml:space="preserve">GB 18484        </w:t>
      </w:r>
      <w:r>
        <w:rPr>
          <w:rFonts w:hint="eastAsia"/>
        </w:rPr>
        <w:t>危险废物焚烧污染控制标准</w:t>
      </w:r>
    </w:p>
    <w:p w14:paraId="261A8AA9" w14:textId="77777777" w:rsidR="0014798F" w:rsidRDefault="00FE0155">
      <w:pPr>
        <w:pStyle w:val="1"/>
        <w:ind w:firstLineChars="200" w:firstLine="420"/>
      </w:pPr>
      <w:r>
        <w:t xml:space="preserve">GB 15618        </w:t>
      </w:r>
      <w:r>
        <w:t>土壤环境质量</w:t>
      </w:r>
      <w:r>
        <w:t xml:space="preserve"> </w:t>
      </w:r>
      <w:r>
        <w:t>农用地土壤污染风险管控标准（试行）</w:t>
      </w:r>
    </w:p>
    <w:p w14:paraId="261A8AAA" w14:textId="77777777" w:rsidR="0014798F" w:rsidRDefault="00FE0155">
      <w:pPr>
        <w:pStyle w:val="1"/>
        <w:ind w:firstLineChars="200" w:firstLine="420"/>
      </w:pPr>
      <w:r>
        <w:t xml:space="preserve">GB 18599        </w:t>
      </w:r>
      <w:r>
        <w:t>一般工业固体废物贮存、处置场污染控制标准</w:t>
      </w:r>
    </w:p>
    <w:p w14:paraId="261A8AAB" w14:textId="77777777" w:rsidR="0014798F" w:rsidRDefault="00FE0155">
      <w:pPr>
        <w:pStyle w:val="1"/>
        <w:ind w:firstLineChars="200" w:firstLine="420"/>
      </w:pPr>
      <w:r>
        <w:t>GB 31571</w:t>
      </w:r>
      <w:r>
        <w:rPr>
          <w:rFonts w:hint="eastAsia"/>
          <w:lang w:val="en-US"/>
        </w:rPr>
        <w:t xml:space="preserve">     </w:t>
      </w:r>
      <w:r>
        <w:t xml:space="preserve">   </w:t>
      </w:r>
      <w:r>
        <w:t>石油化学工业污染物排放标准</w:t>
      </w:r>
    </w:p>
    <w:p w14:paraId="261A8AAC" w14:textId="77777777" w:rsidR="0014798F" w:rsidRDefault="00FE0155">
      <w:pPr>
        <w:pStyle w:val="1"/>
        <w:ind w:firstLineChars="200" w:firstLine="420"/>
      </w:pPr>
      <w:r>
        <w:t xml:space="preserve">GB 36600       </w:t>
      </w:r>
      <w:r>
        <w:rPr>
          <w:rFonts w:hint="eastAsia"/>
          <w:lang w:val="en-US"/>
        </w:rPr>
        <w:t xml:space="preserve"> </w:t>
      </w:r>
      <w:r>
        <w:t>土壤环境质量</w:t>
      </w:r>
      <w:r>
        <w:t xml:space="preserve"> </w:t>
      </w:r>
      <w:r>
        <w:t>建设用地土壤污染风险管控标准（试行）</w:t>
      </w:r>
    </w:p>
    <w:p w14:paraId="261A8AAD" w14:textId="77777777" w:rsidR="0014798F" w:rsidRDefault="00FE0155">
      <w:pPr>
        <w:pStyle w:val="1"/>
        <w:ind w:firstLineChars="200" w:firstLine="420"/>
        <w:rPr>
          <w:lang w:val="en-US"/>
        </w:rPr>
      </w:pPr>
      <w:r>
        <w:rPr>
          <w:rFonts w:hint="eastAsia"/>
        </w:rPr>
        <w:t>GB 18598</w:t>
      </w:r>
      <w:r>
        <w:rPr>
          <w:rFonts w:hint="eastAsia"/>
          <w:lang w:val="en-US"/>
        </w:rPr>
        <w:t xml:space="preserve">        </w:t>
      </w:r>
      <w:r>
        <w:rPr>
          <w:rFonts w:hint="eastAsia"/>
          <w:lang w:val="en-US"/>
        </w:rPr>
        <w:t>危险废物填埋污染控制标准</w:t>
      </w:r>
    </w:p>
    <w:p w14:paraId="261A8AAE" w14:textId="77777777" w:rsidR="0014798F" w:rsidRDefault="00FE0155">
      <w:pPr>
        <w:pStyle w:val="1"/>
        <w:ind w:firstLineChars="200" w:firstLine="420"/>
        <w:rPr>
          <w:lang w:val="en-US"/>
        </w:rPr>
      </w:pPr>
      <w:r>
        <w:rPr>
          <w:lang w:val="en-US"/>
        </w:rPr>
        <w:t>GB/T 30760</w:t>
      </w:r>
      <w:r>
        <w:rPr>
          <w:rFonts w:hint="eastAsia"/>
          <w:lang w:val="en-US"/>
        </w:rPr>
        <w:t xml:space="preserve">      </w:t>
      </w:r>
      <w:r>
        <w:rPr>
          <w:rFonts w:hint="eastAsia"/>
          <w:lang w:val="en-US"/>
        </w:rPr>
        <w:t>水泥窑协同处置固体废物技术规范</w:t>
      </w:r>
    </w:p>
    <w:p w14:paraId="261A8AAF" w14:textId="77777777" w:rsidR="0014798F" w:rsidRDefault="00FE0155">
      <w:pPr>
        <w:pStyle w:val="1"/>
        <w:ind w:firstLineChars="200" w:firstLine="420"/>
        <w:rPr>
          <w:lang w:val="en-US"/>
        </w:rPr>
      </w:pPr>
      <w:r>
        <w:rPr>
          <w:lang w:val="en-US"/>
        </w:rPr>
        <w:t>GB 50634</w:t>
      </w:r>
      <w:r>
        <w:rPr>
          <w:rFonts w:hint="eastAsia"/>
          <w:lang w:val="en-US"/>
        </w:rPr>
        <w:t xml:space="preserve">        </w:t>
      </w:r>
      <w:r>
        <w:rPr>
          <w:rFonts w:hint="eastAsia"/>
          <w:lang w:val="en-US"/>
        </w:rPr>
        <w:t>水泥窑协同处置工业废物设计规范</w:t>
      </w:r>
    </w:p>
    <w:p w14:paraId="261A8AB0" w14:textId="77777777" w:rsidR="0014798F" w:rsidRDefault="00FE0155">
      <w:pPr>
        <w:pStyle w:val="1"/>
        <w:ind w:firstLineChars="200" w:firstLine="420"/>
      </w:pPr>
      <w:r>
        <w:t>HJ 25.1</w:t>
      </w:r>
      <w:r>
        <w:rPr>
          <w:rFonts w:hint="eastAsia"/>
          <w:lang w:val="en-US"/>
        </w:rPr>
        <w:t xml:space="preserve">      </w:t>
      </w:r>
      <w:r>
        <w:t xml:space="preserve">    </w:t>
      </w:r>
      <w:r>
        <w:t>建设用地土壤污染状况调查技术导则</w:t>
      </w:r>
    </w:p>
    <w:p w14:paraId="261A8AB1" w14:textId="77777777" w:rsidR="0014798F" w:rsidRDefault="00FE0155">
      <w:pPr>
        <w:pStyle w:val="1"/>
        <w:ind w:firstLineChars="200" w:firstLine="420"/>
      </w:pPr>
      <w:r>
        <w:t>HJ 25.2</w:t>
      </w:r>
      <w:r>
        <w:rPr>
          <w:rFonts w:hint="eastAsia"/>
          <w:lang w:val="en-US"/>
        </w:rPr>
        <w:t xml:space="preserve">      </w:t>
      </w:r>
      <w:r>
        <w:t xml:space="preserve">    </w:t>
      </w:r>
      <w:r>
        <w:t>建设用地土壤污染风险管控和修复</w:t>
      </w:r>
      <w:r>
        <w:t xml:space="preserve"> </w:t>
      </w:r>
      <w:r>
        <w:t>监测技术导则</w:t>
      </w:r>
    </w:p>
    <w:p w14:paraId="261A8AB2" w14:textId="77777777" w:rsidR="0014798F" w:rsidRDefault="00FE0155">
      <w:pPr>
        <w:pStyle w:val="1"/>
        <w:ind w:firstLineChars="200" w:firstLine="420"/>
      </w:pPr>
      <w:r>
        <w:t>HJ 25.3</w:t>
      </w:r>
      <w:r>
        <w:rPr>
          <w:rFonts w:hint="eastAsia"/>
          <w:lang w:val="en-US"/>
        </w:rPr>
        <w:t xml:space="preserve">      </w:t>
      </w:r>
      <w:r>
        <w:t xml:space="preserve">    </w:t>
      </w:r>
      <w:r>
        <w:t>建设用地土壤污染风险评估技术导则</w:t>
      </w:r>
    </w:p>
    <w:p w14:paraId="261A8AB3" w14:textId="77777777" w:rsidR="0014798F" w:rsidRDefault="00FE0155">
      <w:pPr>
        <w:pStyle w:val="1"/>
        <w:ind w:firstLineChars="200" w:firstLine="420"/>
      </w:pPr>
      <w:r>
        <w:t>HJ 25.4</w:t>
      </w:r>
      <w:r>
        <w:rPr>
          <w:rFonts w:hint="eastAsia"/>
          <w:lang w:val="en-US"/>
        </w:rPr>
        <w:t xml:space="preserve">     </w:t>
      </w:r>
      <w:r>
        <w:t xml:space="preserve">     </w:t>
      </w:r>
      <w:r>
        <w:t>建设用地土壤修复技术导则</w:t>
      </w:r>
    </w:p>
    <w:p w14:paraId="261A8AB4" w14:textId="77777777" w:rsidR="0014798F" w:rsidRDefault="00FE0155">
      <w:pPr>
        <w:pStyle w:val="1"/>
        <w:ind w:firstLineChars="200" w:firstLine="420"/>
      </w:pPr>
      <w:r>
        <w:t>HJ 25.5</w:t>
      </w:r>
      <w:r>
        <w:rPr>
          <w:rFonts w:hint="eastAsia"/>
          <w:lang w:val="en-US"/>
        </w:rPr>
        <w:t xml:space="preserve">     </w:t>
      </w:r>
      <w:r>
        <w:t xml:space="preserve">     </w:t>
      </w:r>
      <w:r>
        <w:t>污染地块风险管控与土壤修复效果评估技术导则（试行）</w:t>
      </w:r>
    </w:p>
    <w:p w14:paraId="261A8AB5" w14:textId="77777777" w:rsidR="0014798F" w:rsidRDefault="00FE0155">
      <w:pPr>
        <w:pStyle w:val="1"/>
        <w:ind w:firstLineChars="200" w:firstLine="420"/>
      </w:pPr>
      <w:r>
        <w:t>HJ 25.6</w:t>
      </w:r>
      <w:r>
        <w:rPr>
          <w:rFonts w:hint="eastAsia"/>
          <w:lang w:val="en-US"/>
        </w:rPr>
        <w:t xml:space="preserve">     </w:t>
      </w:r>
      <w:r>
        <w:t xml:space="preserve">     </w:t>
      </w:r>
      <w:r>
        <w:t>污染地块地下水修复和风险管控技术导则</w:t>
      </w:r>
    </w:p>
    <w:p w14:paraId="261A8AB6" w14:textId="77777777" w:rsidR="0014798F" w:rsidRDefault="00FE0155">
      <w:pPr>
        <w:pStyle w:val="1"/>
        <w:ind w:firstLineChars="200" w:firstLine="420"/>
        <w:rPr>
          <w:lang w:val="en-US"/>
        </w:rPr>
      </w:pPr>
      <w:r>
        <w:rPr>
          <w:rFonts w:hint="eastAsia"/>
        </w:rPr>
        <w:t>HJ 662</w:t>
      </w:r>
      <w:r>
        <w:rPr>
          <w:rFonts w:hint="eastAsia"/>
          <w:lang w:val="en-US"/>
        </w:rPr>
        <w:t xml:space="preserve">           </w:t>
      </w:r>
      <w:r>
        <w:rPr>
          <w:rFonts w:hint="eastAsia"/>
          <w:lang w:val="en-US"/>
        </w:rPr>
        <w:t>水泥窑协同处置固体废物环境保护技术规范</w:t>
      </w:r>
    </w:p>
    <w:p w14:paraId="261A8AB7" w14:textId="77777777" w:rsidR="0014798F" w:rsidRDefault="00FE0155">
      <w:pPr>
        <w:pStyle w:val="1"/>
        <w:ind w:firstLineChars="200" w:firstLine="420"/>
        <w:rPr>
          <w:lang w:val="en-US"/>
        </w:rPr>
      </w:pPr>
      <w:r>
        <w:rPr>
          <w:lang w:val="en-US"/>
        </w:rPr>
        <w:t>HJ 2042</w:t>
      </w:r>
      <w:r>
        <w:rPr>
          <w:rFonts w:hint="eastAsia"/>
          <w:lang w:val="en-US"/>
        </w:rPr>
        <w:t xml:space="preserve">          </w:t>
      </w:r>
      <w:r>
        <w:rPr>
          <w:rFonts w:hint="eastAsia"/>
          <w:lang w:val="en-US"/>
        </w:rPr>
        <w:t>危险废物处置工程技术导则</w:t>
      </w:r>
    </w:p>
    <w:p w14:paraId="261A8AB8" w14:textId="77777777" w:rsidR="0014798F" w:rsidRDefault="00FE0155">
      <w:pPr>
        <w:pStyle w:val="1"/>
        <w:ind w:firstLineChars="200" w:firstLine="420"/>
        <w:rPr>
          <w:lang w:val="en-US"/>
        </w:rPr>
      </w:pPr>
      <w:r>
        <w:rPr>
          <w:lang w:val="en-US"/>
        </w:rPr>
        <w:t>HJ 2007</w:t>
      </w:r>
      <w:r>
        <w:rPr>
          <w:rFonts w:hint="eastAsia"/>
          <w:lang w:val="en-US"/>
        </w:rPr>
        <w:t xml:space="preserve">          </w:t>
      </w:r>
      <w:r>
        <w:rPr>
          <w:rFonts w:hint="eastAsia"/>
          <w:lang w:val="en-US"/>
        </w:rPr>
        <w:t>污水气浮处理工程技术规范</w:t>
      </w:r>
    </w:p>
    <w:p w14:paraId="261A8AB9" w14:textId="77777777" w:rsidR="0014798F" w:rsidRDefault="00FE0155">
      <w:pPr>
        <w:pStyle w:val="1"/>
        <w:ind w:firstLineChars="200" w:firstLine="420"/>
        <w:rPr>
          <w:lang w:val="en-US"/>
        </w:rPr>
      </w:pPr>
      <w:r>
        <w:rPr>
          <w:lang w:val="en-US"/>
        </w:rPr>
        <w:t>HJ 576</w:t>
      </w:r>
      <w:r>
        <w:rPr>
          <w:rFonts w:hint="eastAsia"/>
          <w:lang w:val="en-US"/>
        </w:rPr>
        <w:t xml:space="preserve">           </w:t>
      </w:r>
      <w:r>
        <w:rPr>
          <w:rFonts w:hint="eastAsia"/>
          <w:lang w:val="en-US"/>
        </w:rPr>
        <w:t>厌氧</w:t>
      </w:r>
      <w:r>
        <w:rPr>
          <w:rFonts w:hint="eastAsia"/>
          <w:lang w:val="en-US"/>
        </w:rPr>
        <w:t>-</w:t>
      </w:r>
      <w:r>
        <w:rPr>
          <w:rFonts w:hint="eastAsia"/>
          <w:lang w:val="en-US"/>
        </w:rPr>
        <w:t>缺氧</w:t>
      </w:r>
      <w:r>
        <w:rPr>
          <w:rFonts w:hint="eastAsia"/>
          <w:lang w:val="en-US"/>
        </w:rPr>
        <w:t>-</w:t>
      </w:r>
      <w:r>
        <w:rPr>
          <w:rFonts w:hint="eastAsia"/>
          <w:lang w:val="en-US"/>
        </w:rPr>
        <w:t>好氧活性污泥法污水处理工程技术规范</w:t>
      </w:r>
    </w:p>
    <w:p w14:paraId="261A8ABA" w14:textId="77777777" w:rsidR="0014798F" w:rsidRDefault="00FE0155">
      <w:pPr>
        <w:pStyle w:val="1"/>
        <w:ind w:firstLineChars="200" w:firstLine="420"/>
        <w:rPr>
          <w:lang w:val="en-US"/>
        </w:rPr>
      </w:pPr>
      <w:r>
        <w:rPr>
          <w:lang w:val="en-US"/>
        </w:rPr>
        <w:t>HJ 577</w:t>
      </w:r>
      <w:r>
        <w:rPr>
          <w:rFonts w:hint="eastAsia"/>
          <w:lang w:val="en-US"/>
        </w:rPr>
        <w:t xml:space="preserve">           </w:t>
      </w:r>
      <w:r>
        <w:rPr>
          <w:rFonts w:hint="eastAsia"/>
          <w:lang w:val="en-US"/>
        </w:rPr>
        <w:t>序批式活性污泥法污水处理工程技术规范</w:t>
      </w:r>
    </w:p>
    <w:p w14:paraId="261A8ABB" w14:textId="77777777" w:rsidR="0014798F" w:rsidRDefault="00FE0155">
      <w:pPr>
        <w:pStyle w:val="1"/>
        <w:ind w:firstLineChars="200" w:firstLine="420"/>
        <w:rPr>
          <w:lang w:val="en-US"/>
        </w:rPr>
      </w:pPr>
      <w:r>
        <w:rPr>
          <w:rFonts w:hint="eastAsia"/>
          <w:lang w:val="en-US"/>
        </w:rPr>
        <w:t xml:space="preserve">HJ 610           </w:t>
      </w:r>
      <w:r>
        <w:rPr>
          <w:rFonts w:hint="eastAsia"/>
          <w:lang w:val="en-US"/>
        </w:rPr>
        <w:t>环境影响评价技术导则</w:t>
      </w:r>
      <w:r>
        <w:rPr>
          <w:rFonts w:hint="eastAsia"/>
          <w:lang w:val="en-US"/>
        </w:rPr>
        <w:t xml:space="preserve"> </w:t>
      </w:r>
      <w:r>
        <w:rPr>
          <w:rFonts w:hint="eastAsia"/>
          <w:lang w:val="en-US"/>
        </w:rPr>
        <w:t>地下水环境</w:t>
      </w:r>
    </w:p>
    <w:p w14:paraId="261A8ABC" w14:textId="77777777" w:rsidR="0014798F" w:rsidRDefault="00FE0155">
      <w:pPr>
        <w:pStyle w:val="1"/>
        <w:ind w:firstLineChars="200" w:firstLine="420"/>
        <w:rPr>
          <w:lang w:val="en-US"/>
        </w:rPr>
      </w:pPr>
      <w:r>
        <w:rPr>
          <w:lang w:val="en-US"/>
        </w:rPr>
        <w:t>HJ 964</w:t>
      </w:r>
      <w:r>
        <w:rPr>
          <w:rFonts w:hint="eastAsia"/>
          <w:lang w:val="en-US"/>
        </w:rPr>
        <w:t xml:space="preserve">           </w:t>
      </w:r>
      <w:r>
        <w:rPr>
          <w:lang w:val="en-US"/>
        </w:rPr>
        <w:t>环境影响评价技术导则</w:t>
      </w:r>
      <w:r>
        <w:rPr>
          <w:lang w:val="en-US"/>
        </w:rPr>
        <w:t xml:space="preserve"> </w:t>
      </w:r>
      <w:r>
        <w:rPr>
          <w:lang w:val="en-US"/>
        </w:rPr>
        <w:t>土壤环境（试行）</w:t>
      </w:r>
    </w:p>
    <w:p w14:paraId="261A8ABD" w14:textId="77777777" w:rsidR="0014798F" w:rsidRDefault="00FE0155">
      <w:pPr>
        <w:pStyle w:val="1"/>
        <w:ind w:firstLineChars="200" w:firstLine="420"/>
        <w:rPr>
          <w:lang w:val="en-US"/>
        </w:rPr>
      </w:pPr>
      <w:r>
        <w:rPr>
          <w:lang w:val="en-US"/>
        </w:rPr>
        <w:t>HJ 2010</w:t>
      </w:r>
      <w:r>
        <w:rPr>
          <w:rFonts w:hint="eastAsia"/>
          <w:lang w:val="en-US"/>
        </w:rPr>
        <w:t xml:space="preserve">          </w:t>
      </w:r>
      <w:r>
        <w:rPr>
          <w:rFonts w:hint="eastAsia"/>
          <w:lang w:val="en-US"/>
        </w:rPr>
        <w:t>膜生物法污水处理工程技术规范</w:t>
      </w:r>
    </w:p>
    <w:p w14:paraId="261A8ABE" w14:textId="77777777" w:rsidR="0014798F" w:rsidRDefault="00FE0155">
      <w:pPr>
        <w:pStyle w:val="1"/>
        <w:ind w:firstLineChars="200" w:firstLine="420"/>
        <w:rPr>
          <w:lang w:val="en-US"/>
        </w:rPr>
      </w:pPr>
      <w:r>
        <w:rPr>
          <w:rFonts w:hint="eastAsia"/>
        </w:rPr>
        <w:t>HJ/T 176</w:t>
      </w:r>
      <w:r>
        <w:rPr>
          <w:rFonts w:hint="eastAsia"/>
          <w:lang w:val="en-US"/>
        </w:rPr>
        <w:t xml:space="preserve">         </w:t>
      </w:r>
      <w:r>
        <w:rPr>
          <w:rFonts w:hint="eastAsia"/>
          <w:lang w:val="en-US"/>
        </w:rPr>
        <w:t>危险废物集中焚烧处置工程建设技术规范</w:t>
      </w:r>
    </w:p>
    <w:p w14:paraId="261A8ABF" w14:textId="77777777" w:rsidR="0014798F" w:rsidRDefault="00FE0155">
      <w:pPr>
        <w:pStyle w:val="1"/>
        <w:ind w:firstLineChars="200" w:firstLine="420"/>
      </w:pPr>
      <w:r>
        <w:t>HJ/T 91</w:t>
      </w:r>
      <w:r>
        <w:rPr>
          <w:rFonts w:hint="eastAsia"/>
          <w:lang w:val="en-US"/>
        </w:rPr>
        <w:t xml:space="preserve">       </w:t>
      </w:r>
      <w:r>
        <w:t xml:space="preserve">   </w:t>
      </w:r>
      <w:r>
        <w:t>地表水和污水监测技术规范</w:t>
      </w:r>
    </w:p>
    <w:p w14:paraId="261A8AC0" w14:textId="77777777" w:rsidR="0014798F" w:rsidRDefault="00FE0155">
      <w:pPr>
        <w:pStyle w:val="1"/>
        <w:ind w:firstLineChars="200" w:firstLine="420"/>
      </w:pPr>
      <w:r>
        <w:lastRenderedPageBreak/>
        <w:t xml:space="preserve">HJ/T 166        </w:t>
      </w:r>
      <w:r>
        <w:t>土壤环境监测技术规范</w:t>
      </w:r>
    </w:p>
    <w:p w14:paraId="261A8AC1" w14:textId="77777777" w:rsidR="0014798F" w:rsidRDefault="00FE0155">
      <w:pPr>
        <w:pStyle w:val="1"/>
        <w:ind w:firstLineChars="200" w:firstLine="420"/>
      </w:pPr>
      <w:r>
        <w:t xml:space="preserve">HJ/T 164        </w:t>
      </w:r>
      <w:r>
        <w:t>地下水环境监测技术规范</w:t>
      </w:r>
    </w:p>
    <w:p w14:paraId="261A8AC2" w14:textId="77777777" w:rsidR="0014798F" w:rsidRDefault="00FE0155">
      <w:pPr>
        <w:pStyle w:val="1"/>
        <w:ind w:firstLineChars="200" w:firstLine="420"/>
        <w:rPr>
          <w:lang w:val="en-US"/>
        </w:rPr>
      </w:pPr>
      <w:r>
        <w:rPr>
          <w:rFonts w:hint="eastAsia"/>
        </w:rPr>
        <w:t>HJ/T 20</w:t>
      </w:r>
      <w:r>
        <w:rPr>
          <w:rFonts w:hint="eastAsia"/>
          <w:lang w:val="en-US"/>
        </w:rPr>
        <w:t xml:space="preserve">         </w:t>
      </w:r>
      <w:r>
        <w:rPr>
          <w:rFonts w:hint="eastAsia"/>
          <w:lang w:val="en-US"/>
        </w:rPr>
        <w:t>工业固体废物采样制样技术规范</w:t>
      </w:r>
    </w:p>
    <w:p w14:paraId="261A8AC3" w14:textId="77777777" w:rsidR="0014798F" w:rsidRDefault="00FE0155">
      <w:pPr>
        <w:pStyle w:val="1"/>
        <w:ind w:firstLineChars="200" w:firstLine="420"/>
        <w:rPr>
          <w:lang w:val="en-US"/>
        </w:rPr>
      </w:pPr>
      <w:r>
        <w:rPr>
          <w:lang w:val="en-US"/>
        </w:rPr>
        <w:t>HJ 2041</w:t>
      </w:r>
      <w:r>
        <w:rPr>
          <w:rFonts w:hint="eastAsia"/>
          <w:lang w:val="en-US"/>
        </w:rPr>
        <w:t xml:space="preserve">         </w:t>
      </w:r>
      <w:r>
        <w:rPr>
          <w:rFonts w:hint="eastAsia"/>
          <w:lang w:val="en-US"/>
        </w:rPr>
        <w:t>采油废水治理工程技术规范</w:t>
      </w:r>
    </w:p>
    <w:p w14:paraId="261A8AC4" w14:textId="77777777" w:rsidR="0014798F" w:rsidRDefault="00FE0155">
      <w:pPr>
        <w:pStyle w:val="1"/>
        <w:ind w:firstLineChars="200" w:firstLine="420"/>
      </w:pPr>
      <w:r>
        <w:t>DZ/T 0288</w:t>
      </w:r>
      <w:r>
        <w:rPr>
          <w:rFonts w:hint="eastAsia"/>
          <w:lang w:val="en-US"/>
        </w:rPr>
        <w:t xml:space="preserve">     </w:t>
      </w:r>
      <w:r>
        <w:t xml:space="preserve">  </w:t>
      </w:r>
      <w:r>
        <w:t>区域地下水污染调查评价规范</w:t>
      </w:r>
    </w:p>
    <w:p w14:paraId="261A8AC5" w14:textId="77777777" w:rsidR="0014798F" w:rsidRDefault="00FE0155">
      <w:pPr>
        <w:pStyle w:val="1"/>
        <w:ind w:firstLineChars="200" w:firstLine="420"/>
      </w:pPr>
      <w:r>
        <w:t>SY/T 7300</w:t>
      </w:r>
      <w:r>
        <w:rPr>
          <w:rFonts w:hint="eastAsia"/>
          <w:lang w:val="en-US"/>
        </w:rPr>
        <w:t xml:space="preserve">     </w:t>
      </w:r>
      <w:r>
        <w:t xml:space="preserve">  </w:t>
      </w:r>
      <w:r>
        <w:t>陆上石油天然气开采含油污泥处理处置及污染控制技术规范</w:t>
      </w:r>
    </w:p>
    <w:p w14:paraId="261A8AC6" w14:textId="77777777" w:rsidR="0014798F" w:rsidRDefault="00FE0155">
      <w:pPr>
        <w:pStyle w:val="1"/>
        <w:ind w:firstLineChars="200" w:firstLine="420"/>
        <w:rPr>
          <w:lang w:val="en-US"/>
        </w:rPr>
      </w:pPr>
      <w:r>
        <w:rPr>
          <w:rFonts w:hint="eastAsia"/>
        </w:rPr>
        <w:t>SY/T 6851</w:t>
      </w:r>
      <w:r>
        <w:rPr>
          <w:rFonts w:hint="eastAsia"/>
          <w:lang w:val="en-US"/>
        </w:rPr>
        <w:t xml:space="preserve">       </w:t>
      </w:r>
      <w:r>
        <w:rPr>
          <w:rFonts w:hint="eastAsia"/>
          <w:lang w:val="en-US"/>
        </w:rPr>
        <w:t>油田含油污泥处理设计规范</w:t>
      </w:r>
    </w:p>
    <w:p w14:paraId="261A8AC7" w14:textId="77777777" w:rsidR="0014798F" w:rsidRDefault="00FE0155">
      <w:pPr>
        <w:pStyle w:val="1"/>
        <w:ind w:firstLineChars="200" w:firstLine="420"/>
      </w:pPr>
      <w:r>
        <w:t>T/GIA 008</w:t>
      </w:r>
      <w:r>
        <w:rPr>
          <w:rFonts w:hint="eastAsia"/>
          <w:lang w:val="en-US"/>
        </w:rPr>
        <w:t xml:space="preserve">       </w:t>
      </w:r>
      <w:r>
        <w:t>土壤地下水修复异味控制剂生产制备</w:t>
      </w:r>
      <w:r>
        <w:t xml:space="preserve"> </w:t>
      </w:r>
      <w:r>
        <w:t>技术指南</w:t>
      </w:r>
    </w:p>
    <w:p w14:paraId="261A8AC8" w14:textId="77777777" w:rsidR="0014798F" w:rsidRDefault="00FE0155">
      <w:pPr>
        <w:pStyle w:val="1"/>
        <w:ind w:firstLineChars="200" w:firstLine="420"/>
        <w:rPr>
          <w:lang w:val="en-US"/>
        </w:rPr>
      </w:pPr>
      <w:r>
        <w:rPr>
          <w:rFonts w:hint="eastAsia"/>
        </w:rPr>
        <w:t>CECS : 111</w:t>
      </w:r>
      <w:r>
        <w:rPr>
          <w:rFonts w:hint="eastAsia"/>
          <w:lang w:val="en-US"/>
        </w:rPr>
        <w:t xml:space="preserve">      </w:t>
      </w:r>
      <w:r>
        <w:rPr>
          <w:rFonts w:hint="eastAsia"/>
          <w:lang w:val="en-US"/>
        </w:rPr>
        <w:t>寒冷地区污水活性污泥法处理设计规程</w:t>
      </w:r>
      <w:r>
        <w:rPr>
          <w:rFonts w:hint="eastAsia"/>
          <w:lang w:val="en-US"/>
        </w:rPr>
        <w:t>CECS111:2000</w:t>
      </w:r>
    </w:p>
    <w:p w14:paraId="261A8AC9" w14:textId="77777777" w:rsidR="0014798F" w:rsidRDefault="00FE0155">
      <w:pPr>
        <w:pStyle w:val="a"/>
        <w:tabs>
          <w:tab w:val="left" w:pos="9355"/>
        </w:tabs>
        <w:outlineLvl w:val="0"/>
        <w:rPr>
          <w:rFonts w:ascii="Times New Roman"/>
        </w:rPr>
      </w:pPr>
      <w:bookmarkStart w:id="74" w:name="_Toc17908"/>
      <w:bookmarkStart w:id="75" w:name="_Toc171804406"/>
      <w:bookmarkStart w:id="76" w:name="_Toc30902"/>
      <w:r>
        <w:rPr>
          <w:rFonts w:ascii="Times New Roman"/>
        </w:rPr>
        <w:t>术语和定义</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61A8ACA" w14:textId="77777777" w:rsidR="0014798F" w:rsidRDefault="00FE0155">
      <w:pPr>
        <w:pStyle w:val="a"/>
        <w:numPr>
          <w:ilvl w:val="0"/>
          <w:numId w:val="0"/>
        </w:numPr>
        <w:tabs>
          <w:tab w:val="left" w:pos="9355"/>
        </w:tabs>
        <w:outlineLvl w:val="9"/>
        <w:rPr>
          <w:rFonts w:ascii="Times New Roman"/>
          <w:szCs w:val="22"/>
        </w:rPr>
      </w:pPr>
      <w:bookmarkStart w:id="77" w:name="_Toc30161"/>
      <w:bookmarkStart w:id="78" w:name="_Toc29762"/>
      <w:bookmarkStart w:id="79" w:name="_Toc171804407"/>
      <w:r>
        <w:rPr>
          <w:rFonts w:ascii="Times New Roman"/>
          <w:szCs w:val="22"/>
        </w:rPr>
        <w:t xml:space="preserve">3.1 </w:t>
      </w:r>
      <w:bookmarkEnd w:id="77"/>
      <w:bookmarkEnd w:id="78"/>
    </w:p>
    <w:p w14:paraId="261A8ACB" w14:textId="77777777" w:rsidR="0014798F" w:rsidRDefault="00FE0155">
      <w:pPr>
        <w:pStyle w:val="a"/>
        <w:numPr>
          <w:ilvl w:val="0"/>
          <w:numId w:val="0"/>
        </w:numPr>
        <w:tabs>
          <w:tab w:val="left" w:pos="9355"/>
        </w:tabs>
        <w:ind w:firstLineChars="200" w:firstLine="420"/>
        <w:outlineLvl w:val="9"/>
        <w:rPr>
          <w:rFonts w:ascii="Times New Roman"/>
          <w:szCs w:val="22"/>
        </w:rPr>
      </w:pPr>
      <w:r>
        <w:rPr>
          <w:rFonts w:ascii="Times New Roman"/>
          <w:szCs w:val="22"/>
        </w:rPr>
        <w:t>石油开采区</w:t>
      </w:r>
      <w:r>
        <w:rPr>
          <w:rFonts w:ascii="Times New Roman" w:hint="eastAsia"/>
          <w:szCs w:val="22"/>
        </w:rPr>
        <w:t xml:space="preserve">  oil production area</w:t>
      </w:r>
    </w:p>
    <w:p w14:paraId="261A8ACC" w14:textId="77777777" w:rsidR="0014798F" w:rsidRDefault="00FE0155">
      <w:pPr>
        <w:pStyle w:val="1"/>
        <w:ind w:firstLineChars="200" w:firstLine="420"/>
      </w:pPr>
      <w:bookmarkStart w:id="80" w:name="_Toc4439"/>
      <w:bookmarkStart w:id="81" w:name="_Toc27806"/>
      <w:r>
        <w:t>进行石油勘探和开采活动的特定地域或区域。这些区域通常包括石油储层，经过勘探确认有丰富的石油资源，并且有完整的生产、运输、电力、通讯、管理及生活设施。</w:t>
      </w:r>
      <w:bookmarkEnd w:id="80"/>
      <w:bookmarkEnd w:id="81"/>
    </w:p>
    <w:p w14:paraId="261A8ACD" w14:textId="77777777" w:rsidR="0014798F" w:rsidRDefault="00FE0155">
      <w:pPr>
        <w:pStyle w:val="a"/>
        <w:numPr>
          <w:ilvl w:val="0"/>
          <w:numId w:val="0"/>
        </w:numPr>
        <w:tabs>
          <w:tab w:val="left" w:pos="9355"/>
        </w:tabs>
        <w:outlineLvl w:val="9"/>
        <w:rPr>
          <w:rFonts w:ascii="Times New Roman"/>
          <w:szCs w:val="22"/>
        </w:rPr>
      </w:pPr>
      <w:bookmarkStart w:id="82" w:name="_Toc23994"/>
      <w:bookmarkStart w:id="83" w:name="_Toc26253"/>
      <w:bookmarkStart w:id="84" w:name="_Toc171804409"/>
      <w:bookmarkEnd w:id="79"/>
      <w:r>
        <w:rPr>
          <w:rFonts w:ascii="Times New Roman"/>
          <w:szCs w:val="22"/>
        </w:rPr>
        <w:t xml:space="preserve">3.2 </w:t>
      </w:r>
      <w:bookmarkEnd w:id="82"/>
      <w:bookmarkEnd w:id="83"/>
    </w:p>
    <w:p w14:paraId="261A8ACE" w14:textId="77777777" w:rsidR="0014798F" w:rsidRDefault="00FE0155">
      <w:pPr>
        <w:pStyle w:val="a"/>
        <w:numPr>
          <w:ilvl w:val="0"/>
          <w:numId w:val="0"/>
        </w:numPr>
        <w:tabs>
          <w:tab w:val="left" w:pos="9355"/>
        </w:tabs>
        <w:ind w:firstLineChars="200" w:firstLine="420"/>
        <w:outlineLvl w:val="9"/>
        <w:rPr>
          <w:rFonts w:ascii="Times New Roman"/>
          <w:szCs w:val="22"/>
        </w:rPr>
      </w:pPr>
      <w:r>
        <w:rPr>
          <w:rFonts w:ascii="Times New Roman"/>
          <w:szCs w:val="22"/>
        </w:rPr>
        <w:t>石油开采区土壤地下水污染源</w:t>
      </w:r>
      <w:bookmarkStart w:id="85" w:name="_Toc11053"/>
      <w:bookmarkStart w:id="86" w:name="_Toc19844"/>
      <w:bookmarkStart w:id="87" w:name="_Toc171804411"/>
      <w:bookmarkStart w:id="88" w:name="_Toc170837577"/>
      <w:bookmarkEnd w:id="84"/>
      <w:r>
        <w:rPr>
          <w:rFonts w:ascii="Times New Roman" w:hint="eastAsia"/>
          <w:szCs w:val="22"/>
        </w:rPr>
        <w:t xml:space="preserve">  pollution sources of soil and groundwater in oil extraction areas</w:t>
      </w:r>
    </w:p>
    <w:p w14:paraId="261A8ACF" w14:textId="77777777" w:rsidR="0014798F" w:rsidRDefault="00FE0155">
      <w:pPr>
        <w:pStyle w:val="1"/>
        <w:ind w:firstLineChars="200" w:firstLine="420"/>
      </w:pPr>
      <w:r>
        <w:t>石油开采区内一切能产生物理的、化学的及生物的有害物质或能量并向土壤地下水的迁移的设施、装置、场所与过程。</w:t>
      </w:r>
    </w:p>
    <w:p w14:paraId="261A8AD0" w14:textId="77777777" w:rsidR="0014798F" w:rsidRDefault="00FE0155">
      <w:pPr>
        <w:pStyle w:val="a"/>
        <w:numPr>
          <w:ilvl w:val="0"/>
          <w:numId w:val="0"/>
        </w:numPr>
        <w:tabs>
          <w:tab w:val="left" w:pos="9355"/>
        </w:tabs>
        <w:outlineLvl w:val="9"/>
        <w:rPr>
          <w:rFonts w:ascii="Times New Roman"/>
          <w:szCs w:val="22"/>
        </w:rPr>
      </w:pPr>
      <w:r>
        <w:rPr>
          <w:rFonts w:ascii="Times New Roman"/>
          <w:szCs w:val="22"/>
        </w:rPr>
        <w:t xml:space="preserve">3.3 </w:t>
      </w:r>
      <w:bookmarkEnd w:id="85"/>
      <w:bookmarkEnd w:id="86"/>
    </w:p>
    <w:p w14:paraId="261A8AD1" w14:textId="77777777" w:rsidR="0014798F" w:rsidRDefault="00FE0155">
      <w:pPr>
        <w:pStyle w:val="a"/>
        <w:numPr>
          <w:ilvl w:val="0"/>
          <w:numId w:val="0"/>
        </w:numPr>
        <w:tabs>
          <w:tab w:val="left" w:pos="9355"/>
        </w:tabs>
        <w:ind w:firstLineChars="200" w:firstLine="420"/>
        <w:outlineLvl w:val="9"/>
        <w:rPr>
          <w:rFonts w:ascii="Times New Roman"/>
          <w:szCs w:val="22"/>
        </w:rPr>
      </w:pPr>
      <w:r>
        <w:rPr>
          <w:rFonts w:ascii="Times New Roman"/>
          <w:szCs w:val="22"/>
        </w:rPr>
        <w:t>污染源</w:t>
      </w:r>
      <w:r>
        <w:rPr>
          <w:rFonts w:ascii="Times New Roman" w:hint="eastAsia"/>
          <w:szCs w:val="22"/>
        </w:rPr>
        <w:t>控制</w:t>
      </w:r>
      <w:r>
        <w:rPr>
          <w:rFonts w:ascii="Times New Roman" w:hint="eastAsia"/>
          <w:szCs w:val="22"/>
        </w:rPr>
        <w:t xml:space="preserve">  pollution source control</w:t>
      </w:r>
    </w:p>
    <w:p w14:paraId="261A8AD2" w14:textId="77777777" w:rsidR="0014798F" w:rsidRDefault="00FE0155">
      <w:pPr>
        <w:pStyle w:val="1"/>
        <w:ind w:firstLineChars="200" w:firstLine="420"/>
      </w:pPr>
      <w:bookmarkStart w:id="89" w:name="_Toc17788"/>
      <w:bookmarkStart w:id="90" w:name="_Toc3732"/>
      <w:r>
        <w:t>运用经济、技术、法律、行政以及其他管理手段和措施，对污染源进行调查、监督、治理、环境风险管控等工作和活动。</w:t>
      </w:r>
      <w:bookmarkStart w:id="91" w:name="_Toc15602"/>
      <w:bookmarkStart w:id="92" w:name="_Toc25028"/>
      <w:bookmarkStart w:id="93" w:name="_Toc32152"/>
      <w:bookmarkStart w:id="94" w:name="_Toc15394"/>
      <w:bookmarkStart w:id="95" w:name="_Toc29957"/>
      <w:bookmarkStart w:id="96" w:name="_Toc4720"/>
      <w:bookmarkStart w:id="97" w:name="_Toc1606"/>
      <w:bookmarkStart w:id="98" w:name="_Toc26677"/>
      <w:bookmarkStart w:id="99" w:name="_Toc23216"/>
      <w:bookmarkStart w:id="100" w:name="_Toc28523"/>
      <w:bookmarkStart w:id="101" w:name="_Toc28067"/>
      <w:bookmarkStart w:id="102" w:name="_Toc112745635"/>
      <w:bookmarkStart w:id="103" w:name="_Toc13183"/>
      <w:bookmarkStart w:id="104" w:name="_Toc16287"/>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61A8AD3" w14:textId="77777777" w:rsidR="0014798F" w:rsidRDefault="00FE0155">
      <w:pPr>
        <w:pStyle w:val="a"/>
        <w:numPr>
          <w:ilvl w:val="0"/>
          <w:numId w:val="0"/>
        </w:numPr>
        <w:tabs>
          <w:tab w:val="left" w:pos="9355"/>
        </w:tabs>
        <w:outlineLvl w:val="9"/>
        <w:rPr>
          <w:rFonts w:ascii="Times New Roman"/>
          <w:szCs w:val="22"/>
        </w:rPr>
      </w:pPr>
      <w:bookmarkStart w:id="105" w:name="_Toc4893"/>
      <w:bookmarkStart w:id="106" w:name="_Toc890"/>
      <w:bookmarkStart w:id="107" w:name="_Toc171804412"/>
      <w:bookmarkStart w:id="108" w:name="_Toc170837578"/>
      <w:r>
        <w:rPr>
          <w:rFonts w:ascii="Times New Roman"/>
          <w:szCs w:val="22"/>
        </w:rPr>
        <w:t xml:space="preserve">3.4 </w:t>
      </w:r>
      <w:bookmarkEnd w:id="105"/>
      <w:bookmarkEnd w:id="106"/>
    </w:p>
    <w:p w14:paraId="261A8AD4" w14:textId="77777777" w:rsidR="0014798F" w:rsidRDefault="00FE0155">
      <w:pPr>
        <w:pStyle w:val="a"/>
        <w:numPr>
          <w:ilvl w:val="0"/>
          <w:numId w:val="0"/>
        </w:numPr>
        <w:tabs>
          <w:tab w:val="left" w:pos="9355"/>
        </w:tabs>
        <w:ind w:firstLineChars="200" w:firstLine="420"/>
        <w:outlineLvl w:val="9"/>
        <w:rPr>
          <w:rFonts w:ascii="Times New Roman"/>
          <w:szCs w:val="22"/>
        </w:rPr>
      </w:pPr>
      <w:r>
        <w:rPr>
          <w:rFonts w:ascii="Times New Roman"/>
          <w:szCs w:val="22"/>
        </w:rPr>
        <w:t>油田废水</w:t>
      </w:r>
      <w:r>
        <w:rPr>
          <w:rFonts w:ascii="Times New Roman" w:hint="eastAsia"/>
          <w:szCs w:val="22"/>
        </w:rPr>
        <w:t xml:space="preserve">  oilfield wastewater</w:t>
      </w:r>
    </w:p>
    <w:p w14:paraId="261A8AD5" w14:textId="77777777" w:rsidR="0014798F" w:rsidRDefault="00FE0155">
      <w:pPr>
        <w:pStyle w:val="1"/>
        <w:ind w:firstLineChars="200" w:firstLine="420"/>
      </w:pPr>
      <w:bookmarkStart w:id="109" w:name="_Toc8951"/>
      <w:bookmarkStart w:id="110" w:name="_Toc17918"/>
      <w:r>
        <w:t>在石油勘探、开采和生产过程中产生的含有各种化学物质和污染物的废水。</w:t>
      </w:r>
      <w:bookmarkStart w:id="111" w:name="_Toc334"/>
      <w:bookmarkStart w:id="112" w:name="_Toc26196"/>
      <w:bookmarkStart w:id="113" w:name="_Toc1877"/>
      <w:bookmarkStart w:id="114" w:name="_Toc27961"/>
      <w:bookmarkEnd w:id="107"/>
      <w:bookmarkEnd w:id="108"/>
      <w:bookmarkEnd w:id="109"/>
      <w:bookmarkEnd w:id="110"/>
      <w:bookmarkEnd w:id="111"/>
      <w:bookmarkEnd w:id="112"/>
      <w:bookmarkEnd w:id="113"/>
      <w:bookmarkEnd w:id="114"/>
    </w:p>
    <w:p w14:paraId="261A8AD6" w14:textId="77777777" w:rsidR="0014798F" w:rsidRDefault="00FE0155">
      <w:pPr>
        <w:pStyle w:val="a"/>
        <w:numPr>
          <w:ilvl w:val="0"/>
          <w:numId w:val="0"/>
        </w:numPr>
        <w:tabs>
          <w:tab w:val="left" w:pos="9355"/>
        </w:tabs>
        <w:outlineLvl w:val="9"/>
        <w:rPr>
          <w:rFonts w:ascii="Times New Roman"/>
          <w:szCs w:val="22"/>
        </w:rPr>
      </w:pPr>
      <w:bookmarkStart w:id="115" w:name="_Toc170837590"/>
      <w:bookmarkStart w:id="116" w:name="_Toc171804413"/>
      <w:bookmarkStart w:id="117" w:name="_Toc32360"/>
      <w:bookmarkStart w:id="118" w:name="_Toc31586"/>
      <w:bookmarkStart w:id="119" w:name="_Toc24059"/>
      <w:r>
        <w:rPr>
          <w:rFonts w:ascii="Times New Roman"/>
          <w:szCs w:val="22"/>
        </w:rPr>
        <w:t>3.5</w:t>
      </w:r>
      <w:bookmarkStart w:id="120" w:name="OLE_LINK2"/>
      <w:r>
        <w:rPr>
          <w:rFonts w:ascii="Times New Roman"/>
          <w:szCs w:val="22"/>
        </w:rPr>
        <w:t xml:space="preserve"> </w:t>
      </w:r>
      <w:bookmarkEnd w:id="115"/>
      <w:bookmarkEnd w:id="116"/>
      <w:bookmarkEnd w:id="117"/>
      <w:bookmarkEnd w:id="118"/>
      <w:bookmarkEnd w:id="119"/>
      <w:bookmarkEnd w:id="120"/>
    </w:p>
    <w:p w14:paraId="261A8AD7" w14:textId="77777777" w:rsidR="0014798F" w:rsidRDefault="00FE0155">
      <w:pPr>
        <w:pStyle w:val="a"/>
        <w:numPr>
          <w:ilvl w:val="0"/>
          <w:numId w:val="0"/>
        </w:numPr>
        <w:tabs>
          <w:tab w:val="left" w:pos="9355"/>
        </w:tabs>
        <w:ind w:firstLineChars="200" w:firstLine="420"/>
        <w:outlineLvl w:val="9"/>
        <w:rPr>
          <w:rFonts w:ascii="Times New Roman"/>
          <w:szCs w:val="22"/>
        </w:rPr>
      </w:pPr>
      <w:r>
        <w:rPr>
          <w:rFonts w:ascii="Times New Roman"/>
          <w:szCs w:val="22"/>
        </w:rPr>
        <w:t>油田固体废物</w:t>
      </w:r>
      <w:r>
        <w:rPr>
          <w:rFonts w:ascii="Times New Roman" w:hint="eastAsia"/>
          <w:szCs w:val="22"/>
        </w:rPr>
        <w:t xml:space="preserve">  oilfield solid waste</w:t>
      </w:r>
    </w:p>
    <w:p w14:paraId="261A8AD8" w14:textId="77777777" w:rsidR="0014798F" w:rsidRDefault="00FE0155">
      <w:pPr>
        <w:pStyle w:val="1"/>
        <w:ind w:firstLineChars="200" w:firstLine="420"/>
      </w:pPr>
      <w:r>
        <w:lastRenderedPageBreak/>
        <w:t>在石油勘探、开采和生产过程中产生的各种固体废物和污染物。</w:t>
      </w:r>
    </w:p>
    <w:p w14:paraId="261A8AD9" w14:textId="77777777" w:rsidR="0014798F" w:rsidRDefault="00FE0155">
      <w:pPr>
        <w:pStyle w:val="a"/>
        <w:tabs>
          <w:tab w:val="left" w:pos="9355"/>
        </w:tabs>
        <w:outlineLvl w:val="0"/>
        <w:rPr>
          <w:rFonts w:ascii="Times New Roman"/>
        </w:rPr>
      </w:pPr>
      <w:bookmarkStart w:id="121" w:name="_Toc14639"/>
      <w:bookmarkStart w:id="122" w:name="_Toc309646639"/>
      <w:bookmarkStart w:id="123" w:name="_Toc6044"/>
      <w:bookmarkStart w:id="124" w:name="_Toc309646711"/>
      <w:bookmarkStart w:id="125" w:name="_Toc112745629"/>
      <w:bookmarkStart w:id="126" w:name="_Toc309398150"/>
      <w:bookmarkStart w:id="127" w:name="_Toc309398282"/>
      <w:bookmarkStart w:id="128" w:name="_Toc112745628"/>
      <w:bookmarkStart w:id="129" w:name="_Toc20350"/>
      <w:bookmarkStart w:id="130" w:name="_Toc309398216"/>
      <w:bookmarkStart w:id="131" w:name="_Toc13741"/>
      <w:bookmarkStart w:id="132" w:name="_Toc18612"/>
      <w:bookmarkStart w:id="133" w:name="_Toc171804421"/>
      <w:bookmarkEnd w:id="36"/>
      <w:bookmarkEnd w:id="37"/>
      <w:bookmarkEnd w:id="38"/>
      <w:bookmarkEnd w:id="39"/>
      <w:bookmarkEnd w:id="40"/>
      <w:bookmarkEnd w:id="121"/>
      <w:bookmarkEnd w:id="122"/>
      <w:bookmarkEnd w:id="123"/>
      <w:bookmarkEnd w:id="124"/>
      <w:bookmarkEnd w:id="125"/>
      <w:bookmarkEnd w:id="126"/>
      <w:bookmarkEnd w:id="127"/>
      <w:bookmarkEnd w:id="128"/>
      <w:bookmarkEnd w:id="129"/>
      <w:bookmarkEnd w:id="130"/>
      <w:r>
        <w:rPr>
          <w:rFonts w:ascii="Times New Roman" w:hint="eastAsia"/>
        </w:rPr>
        <w:t>总则</w:t>
      </w:r>
      <w:bookmarkEnd w:id="131"/>
    </w:p>
    <w:p w14:paraId="261A8ADA" w14:textId="77777777" w:rsidR="0014798F" w:rsidRDefault="00FE0155">
      <w:pPr>
        <w:pStyle w:val="ab"/>
        <w:spacing w:beforeLines="50" w:before="156" w:afterLines="50" w:after="156"/>
        <w:ind w:firstLineChars="0" w:firstLine="0"/>
        <w:outlineLvl w:val="1"/>
        <w:rPr>
          <w:rFonts w:ascii="Times New Roman" w:eastAsia="黑体"/>
          <w:szCs w:val="22"/>
        </w:rPr>
      </w:pPr>
      <w:bookmarkStart w:id="134" w:name="_Toc30787"/>
      <w:bookmarkStart w:id="135" w:name="_Toc178114081"/>
      <w:r>
        <w:rPr>
          <w:rFonts w:ascii="Times New Roman" w:eastAsia="黑体"/>
          <w:szCs w:val="22"/>
        </w:rPr>
        <w:t xml:space="preserve">4.1 </w:t>
      </w:r>
      <w:r>
        <w:rPr>
          <w:rFonts w:ascii="Times New Roman" w:eastAsia="黑体"/>
          <w:szCs w:val="22"/>
        </w:rPr>
        <w:t>科学性原则</w:t>
      </w:r>
      <w:bookmarkEnd w:id="134"/>
      <w:bookmarkEnd w:id="135"/>
    </w:p>
    <w:p w14:paraId="261A8ADB" w14:textId="77777777" w:rsidR="0014798F" w:rsidRDefault="00FE0155">
      <w:pPr>
        <w:pStyle w:val="1"/>
        <w:ind w:firstLineChars="200" w:firstLine="420"/>
      </w:pPr>
      <w:r>
        <w:t>综合</w:t>
      </w:r>
      <w:r>
        <w:rPr>
          <w:rFonts w:hint="eastAsia"/>
          <w:lang w:val="en-US"/>
        </w:rPr>
        <w:t>考虑石油开采区</w:t>
      </w:r>
      <w:r>
        <w:t>的水文地质条件、污染物类型、污染特征、技术适用条件、监测目标、监测频率、监测数据分析方法和监测预警所受环境影响等因素，构建</w:t>
      </w:r>
      <w:r>
        <w:rPr>
          <w:rFonts w:hint="eastAsia"/>
          <w:lang w:val="en-US"/>
        </w:rPr>
        <w:t>石油开采区</w:t>
      </w:r>
      <w:r>
        <w:t>土壤地下水污染源控制技术。</w:t>
      </w:r>
    </w:p>
    <w:p w14:paraId="261A8ADC" w14:textId="77777777" w:rsidR="0014798F" w:rsidRDefault="00FE0155">
      <w:pPr>
        <w:pStyle w:val="ab"/>
        <w:spacing w:beforeLines="50" w:before="156" w:afterLines="50" w:after="156"/>
        <w:ind w:firstLineChars="0" w:firstLine="0"/>
        <w:outlineLvl w:val="1"/>
        <w:rPr>
          <w:rFonts w:ascii="Times New Roman" w:eastAsia="黑体"/>
          <w:szCs w:val="22"/>
        </w:rPr>
      </w:pPr>
      <w:bookmarkStart w:id="136" w:name="_Toc1921"/>
      <w:bookmarkStart w:id="137" w:name="_Toc178114082"/>
      <w:r>
        <w:rPr>
          <w:rFonts w:ascii="Times New Roman" w:eastAsia="黑体"/>
          <w:szCs w:val="22"/>
        </w:rPr>
        <w:t xml:space="preserve">4.2 </w:t>
      </w:r>
      <w:r>
        <w:rPr>
          <w:rFonts w:ascii="Times New Roman" w:eastAsia="黑体"/>
          <w:szCs w:val="22"/>
        </w:rPr>
        <w:t>规范性原则</w:t>
      </w:r>
      <w:bookmarkEnd w:id="136"/>
      <w:bookmarkEnd w:id="137"/>
    </w:p>
    <w:p w14:paraId="261A8ADD" w14:textId="77777777" w:rsidR="0014798F" w:rsidRDefault="00FE0155">
      <w:pPr>
        <w:pStyle w:val="1"/>
        <w:ind w:firstLineChars="200" w:firstLine="420"/>
      </w:pPr>
      <w:r>
        <w:t>根据</w:t>
      </w:r>
      <w:r>
        <w:rPr>
          <w:rFonts w:hint="eastAsia"/>
        </w:rPr>
        <w:t>石油开采区</w:t>
      </w:r>
      <w:r>
        <w:t>土壤地下水防治相关法律法规要求，采用程序化、系统化方式规范</w:t>
      </w:r>
      <w:r>
        <w:rPr>
          <w:rFonts w:hint="eastAsia"/>
        </w:rPr>
        <w:t>石油开采区</w:t>
      </w:r>
      <w:r>
        <w:t>土壤地下水污染源防治过程，保证</w:t>
      </w:r>
      <w:r>
        <w:rPr>
          <w:rFonts w:hint="eastAsia"/>
        </w:rPr>
        <w:t>石油开采区</w:t>
      </w:r>
      <w:r>
        <w:t>土壤地下水污染源防治技术体系的规范性和客观性。</w:t>
      </w:r>
    </w:p>
    <w:p w14:paraId="261A8ADE" w14:textId="77777777" w:rsidR="0014798F" w:rsidRDefault="00FE0155">
      <w:pPr>
        <w:pStyle w:val="ab"/>
        <w:spacing w:beforeLines="50" w:before="156" w:afterLines="50" w:after="156"/>
        <w:ind w:firstLineChars="0" w:firstLine="0"/>
        <w:outlineLvl w:val="1"/>
        <w:rPr>
          <w:rFonts w:ascii="Times New Roman" w:eastAsia="黑体"/>
          <w:szCs w:val="22"/>
        </w:rPr>
      </w:pPr>
      <w:bookmarkStart w:id="138" w:name="_Toc19059"/>
      <w:bookmarkStart w:id="139" w:name="_Toc178114083"/>
      <w:r>
        <w:rPr>
          <w:rFonts w:ascii="Times New Roman" w:eastAsia="黑体"/>
          <w:szCs w:val="22"/>
        </w:rPr>
        <w:t xml:space="preserve">4.3 </w:t>
      </w:r>
      <w:r>
        <w:rPr>
          <w:rFonts w:ascii="Times New Roman" w:eastAsia="黑体"/>
          <w:szCs w:val="22"/>
        </w:rPr>
        <w:t>可行性原则</w:t>
      </w:r>
      <w:bookmarkEnd w:id="138"/>
      <w:bookmarkEnd w:id="139"/>
    </w:p>
    <w:p w14:paraId="261A8ADF" w14:textId="77777777" w:rsidR="0014798F" w:rsidRDefault="00FE0155">
      <w:pPr>
        <w:pStyle w:val="1"/>
        <w:ind w:firstLineChars="200" w:firstLine="420"/>
      </w:pPr>
      <w:r>
        <w:t>综合考虑</w:t>
      </w:r>
      <w:r>
        <w:rPr>
          <w:rFonts w:hint="eastAsia"/>
        </w:rPr>
        <w:t>石油开采区</w:t>
      </w:r>
      <w:r>
        <w:t>土壤地下水污染源特点、经费投入等因素，结合当前科技发展和专业技术水平，合理选择污染源控制技术，因地制宜制定技术方案，使</w:t>
      </w:r>
      <w:r>
        <w:rPr>
          <w:rFonts w:hint="eastAsia"/>
        </w:rPr>
        <w:t>石油开采区</w:t>
      </w:r>
      <w:r>
        <w:t>土壤地下水污染防治技术在实施过程中可操作性强。</w:t>
      </w:r>
    </w:p>
    <w:p w14:paraId="261A8AE0" w14:textId="77777777" w:rsidR="0014798F" w:rsidRDefault="00FE0155">
      <w:pPr>
        <w:pStyle w:val="ab"/>
        <w:spacing w:beforeLines="50" w:before="156" w:afterLines="50" w:after="156"/>
        <w:ind w:firstLineChars="0" w:firstLine="0"/>
        <w:outlineLvl w:val="1"/>
        <w:rPr>
          <w:rFonts w:ascii="Times New Roman" w:eastAsia="黑体"/>
          <w:szCs w:val="22"/>
        </w:rPr>
      </w:pPr>
      <w:bookmarkStart w:id="140" w:name="_Toc178114084"/>
      <w:bookmarkStart w:id="141" w:name="_Toc3725"/>
      <w:r>
        <w:rPr>
          <w:rFonts w:ascii="Times New Roman" w:eastAsia="黑体"/>
          <w:szCs w:val="22"/>
        </w:rPr>
        <w:t xml:space="preserve">4.4 </w:t>
      </w:r>
      <w:r>
        <w:rPr>
          <w:rFonts w:ascii="Times New Roman" w:eastAsia="黑体"/>
          <w:szCs w:val="22"/>
        </w:rPr>
        <w:t>安全性原则</w:t>
      </w:r>
      <w:bookmarkEnd w:id="140"/>
      <w:bookmarkEnd w:id="141"/>
    </w:p>
    <w:p w14:paraId="261A8AE1" w14:textId="77777777" w:rsidR="0014798F" w:rsidRDefault="00FE0155">
      <w:pPr>
        <w:pStyle w:val="1"/>
        <w:ind w:firstLineChars="200" w:firstLine="420"/>
      </w:pPr>
      <w:r>
        <w:t>构建</w:t>
      </w:r>
      <w:r>
        <w:rPr>
          <w:rFonts w:hint="eastAsia"/>
        </w:rPr>
        <w:t>石油开采区</w:t>
      </w:r>
      <w:r>
        <w:t>土壤地下水污染源防治技术体系要确保现场工程实施安全，防止对施工人员、周边人群的生命健康以及环境产生二次危害</w:t>
      </w:r>
    </w:p>
    <w:p w14:paraId="261A8AE2" w14:textId="77777777" w:rsidR="0014798F" w:rsidRDefault="00FE0155">
      <w:pPr>
        <w:pStyle w:val="a"/>
        <w:tabs>
          <w:tab w:val="left" w:pos="9355"/>
        </w:tabs>
        <w:outlineLvl w:val="0"/>
        <w:rPr>
          <w:rFonts w:ascii="Times New Roman"/>
        </w:rPr>
      </w:pPr>
      <w:bookmarkStart w:id="142" w:name="_Toc16032"/>
      <w:bookmarkEnd w:id="132"/>
      <w:bookmarkEnd w:id="133"/>
      <w:r>
        <w:rPr>
          <w:rFonts w:ascii="Times New Roman"/>
        </w:rPr>
        <w:t>石油开采区土壤地下水污染</w:t>
      </w:r>
      <w:r>
        <w:rPr>
          <w:rFonts w:ascii="Times New Roman" w:hint="eastAsia"/>
        </w:rPr>
        <w:t>源</w:t>
      </w:r>
      <w:r>
        <w:rPr>
          <w:rFonts w:ascii="Times New Roman"/>
        </w:rPr>
        <w:t>调查</w:t>
      </w:r>
      <w:bookmarkEnd w:id="142"/>
    </w:p>
    <w:p w14:paraId="261A8AE3" w14:textId="77777777" w:rsidR="0014798F" w:rsidRDefault="00FE0155">
      <w:pPr>
        <w:pStyle w:val="ab"/>
        <w:spacing w:beforeLines="50" w:before="156" w:afterLines="50" w:after="156"/>
        <w:ind w:firstLineChars="0" w:firstLine="0"/>
        <w:outlineLvl w:val="1"/>
        <w:rPr>
          <w:rFonts w:ascii="Times New Roman" w:eastAsia="黑体"/>
          <w:szCs w:val="22"/>
        </w:rPr>
      </w:pPr>
      <w:bookmarkStart w:id="143" w:name="_Toc171804422"/>
      <w:bookmarkStart w:id="144" w:name="_Toc12172"/>
      <w:bookmarkStart w:id="145" w:name="_Toc4015"/>
      <w:r>
        <w:rPr>
          <w:rFonts w:ascii="Times New Roman" w:eastAsia="黑体"/>
          <w:szCs w:val="22"/>
        </w:rPr>
        <w:t xml:space="preserve">5.1 </w:t>
      </w:r>
      <w:bookmarkEnd w:id="143"/>
      <w:bookmarkEnd w:id="144"/>
      <w:r>
        <w:rPr>
          <w:rFonts w:ascii="Times New Roman" w:eastAsia="黑体"/>
          <w:szCs w:val="22"/>
        </w:rPr>
        <w:t>石油开采区土壤污染</w:t>
      </w:r>
      <w:r>
        <w:rPr>
          <w:rFonts w:ascii="Times New Roman" w:eastAsia="黑体" w:hint="eastAsia"/>
          <w:szCs w:val="22"/>
        </w:rPr>
        <w:t>源</w:t>
      </w:r>
      <w:r>
        <w:rPr>
          <w:rFonts w:ascii="Times New Roman" w:eastAsia="黑体"/>
          <w:szCs w:val="22"/>
        </w:rPr>
        <w:t>调查</w:t>
      </w:r>
      <w:bookmarkEnd w:id="145"/>
    </w:p>
    <w:p w14:paraId="261A8AE4" w14:textId="77777777" w:rsidR="0014798F" w:rsidRDefault="00FE0155">
      <w:pPr>
        <w:spacing w:beforeLines="50" w:before="156" w:afterLines="50" w:after="156"/>
        <w:rPr>
          <w:szCs w:val="21"/>
        </w:rPr>
      </w:pPr>
      <w:r>
        <w:rPr>
          <w:szCs w:val="21"/>
        </w:rPr>
        <w:t xml:space="preserve">5.1.1 </w:t>
      </w:r>
      <w:r>
        <w:rPr>
          <w:szCs w:val="21"/>
        </w:rPr>
        <w:t>资料收集与现场踏勘</w:t>
      </w:r>
    </w:p>
    <w:p w14:paraId="261A8AE5" w14:textId="77777777" w:rsidR="0014798F" w:rsidRDefault="00FE0155">
      <w:pPr>
        <w:pStyle w:val="ab"/>
        <w:spacing w:line="276" w:lineRule="auto"/>
        <w:rPr>
          <w:rFonts w:ascii="Times New Roman"/>
          <w:kern w:val="2"/>
          <w:szCs w:val="22"/>
        </w:rPr>
      </w:pPr>
      <w:r>
        <w:rPr>
          <w:rFonts w:ascii="Times New Roman"/>
          <w:kern w:val="2"/>
          <w:szCs w:val="22"/>
        </w:rPr>
        <w:t>a</w:t>
      </w:r>
      <w:r>
        <w:rPr>
          <w:rFonts w:ascii="Times New Roman" w:hint="eastAsia"/>
          <w:kern w:val="2"/>
          <w:szCs w:val="22"/>
        </w:rPr>
        <w:t>）</w:t>
      </w:r>
      <w:r>
        <w:rPr>
          <w:rFonts w:ascii="Times New Roman"/>
          <w:kern w:val="2"/>
          <w:szCs w:val="22"/>
        </w:rPr>
        <w:t>资料收集</w:t>
      </w:r>
    </w:p>
    <w:bookmarkEnd w:id="1"/>
    <w:p w14:paraId="261A8AE6" w14:textId="77777777" w:rsidR="0014798F" w:rsidRDefault="00FE0155">
      <w:pPr>
        <w:pStyle w:val="1"/>
        <w:ind w:firstLineChars="200" w:firstLine="420"/>
      </w:pPr>
      <w:r>
        <w:t>根据</w:t>
      </w:r>
      <w:r>
        <w:t>HJ 25.1-2019</w:t>
      </w:r>
      <w:r>
        <w:t>进行石油开采区土壤环境调查，以资料收集、现场踏勘和人员访谈为主。资料收集的范围包括：气象资料、水文资料、土壤资料、地形地貌、地质、水文地质资料、土地利用规划资料、社会经济发展资料、污染源资料等。其中，石油开采区水文地质勘察报告、环境影响评价报告、石油开采区开采可行性报告、石油开采区石油贮量报告、石油开采区污水处理设施设计方案、地下水现有监测井布设位置与监测数据，地下水饮用水水源地以及污染源资料重点收集。</w:t>
      </w:r>
    </w:p>
    <w:p w14:paraId="261A8AE7" w14:textId="77777777" w:rsidR="0014798F" w:rsidRDefault="00FE0155">
      <w:pPr>
        <w:pStyle w:val="1"/>
        <w:ind w:firstLineChars="200" w:firstLine="420"/>
      </w:pPr>
      <w:r>
        <w:t>通过资料收集调查，达到如下目的：</w:t>
      </w:r>
      <w:r>
        <w:t>1</w:t>
      </w:r>
      <w:r>
        <w:t>）包气带结构，查明包气带地层时代、岩性组成、厚度、结构以及分布特点，包气带中粘性土层的组成、厚度与分布特点，了解包气带岩（土）体的渗透性能；</w:t>
      </w:r>
      <w:r>
        <w:t>2</w:t>
      </w:r>
      <w:r>
        <w:t>）地下水系统结构，查明含水层的地层时代、岩性组成、厚度与分布，边界条件，顶底板岩性、厚度和隔</w:t>
      </w:r>
      <w:r>
        <w:t>/</w:t>
      </w:r>
      <w:r>
        <w:t>透水性能；</w:t>
      </w:r>
      <w:r>
        <w:t>3</w:t>
      </w:r>
      <w:r>
        <w:t>）补给、径流、排泄条件，查明地下水的补给来源、补给区分布，径流区的循环条件、分布范畴，排泄方式、排泄区分布等，分析地下水流程变化情形。</w:t>
      </w:r>
    </w:p>
    <w:p w14:paraId="261A8AE8" w14:textId="77777777" w:rsidR="0014798F" w:rsidRDefault="00FE0155">
      <w:pPr>
        <w:pStyle w:val="ab"/>
        <w:spacing w:line="276" w:lineRule="auto"/>
        <w:rPr>
          <w:rFonts w:ascii="Times New Roman"/>
          <w:kern w:val="2"/>
          <w:szCs w:val="22"/>
        </w:rPr>
      </w:pPr>
      <w:r>
        <w:rPr>
          <w:rFonts w:ascii="Times New Roman" w:hint="eastAsia"/>
          <w:kern w:val="2"/>
          <w:szCs w:val="22"/>
        </w:rPr>
        <w:t>b</w:t>
      </w:r>
      <w:r>
        <w:rPr>
          <w:rFonts w:ascii="Times New Roman"/>
          <w:kern w:val="2"/>
          <w:szCs w:val="22"/>
        </w:rPr>
        <w:t>）现场踏勘</w:t>
      </w:r>
    </w:p>
    <w:p w14:paraId="261A8AE9" w14:textId="77777777" w:rsidR="0014798F" w:rsidRDefault="00FE0155">
      <w:pPr>
        <w:pStyle w:val="1"/>
        <w:ind w:firstLineChars="200" w:firstLine="420"/>
      </w:pPr>
      <w:r>
        <w:lastRenderedPageBreak/>
        <w:t>根据资料综合分析结果，结合调查区水文地质条件、地下水开发利用状况、石油开采区污染源特征等情况，制定现场踏勘工作计划。在现场踏勘前，根据石油开采区的具体情况掌握相应的安全卫生防护知识，并装备必要的防护用品。踏勘的范围以石油开采区为主，并应包括周围区域，周围区域的调查范围一般不超过石油开采区周边</w:t>
      </w:r>
      <w:r>
        <w:t>1km</w:t>
      </w:r>
      <w:r>
        <w:t>，具体范围可结合地形地貌、地表分水岭、水文地质单元或环境敏感性等情况来确定。</w:t>
      </w:r>
    </w:p>
    <w:p w14:paraId="261A8AEA" w14:textId="77777777" w:rsidR="0014798F" w:rsidRDefault="00FE0155">
      <w:pPr>
        <w:pStyle w:val="1"/>
        <w:ind w:firstLineChars="200" w:firstLine="420"/>
      </w:pPr>
      <w:r>
        <w:t>通过现场踏勘摸清石油开采区污染源的基本情况，包括：开采规模、开采时间、开采方式，污染物排放情况（废水、固废与占用土地情况），污染物处理处置情况（处理设施规模与工艺、运行时间），油井、加工区与原油储藏区的分布，地下水监测井的分布、结构与监测频次，周边敏感目标情况等。踏勘结束，编写踏勘小结，包括踏勘计划、路线、照片、录像等记录资料，记录获得补充的主要信息，踏勘结束后所需的报告编制要求具体见</w:t>
      </w:r>
      <w:r>
        <w:t>HJ 25.1-2019</w:t>
      </w:r>
      <w:r>
        <w:t>。</w:t>
      </w:r>
    </w:p>
    <w:p w14:paraId="261A8AEB" w14:textId="77777777" w:rsidR="0014798F" w:rsidRDefault="00FE0155">
      <w:pPr>
        <w:spacing w:beforeLines="50" w:before="156" w:afterLines="50" w:after="156"/>
        <w:rPr>
          <w:szCs w:val="21"/>
        </w:rPr>
      </w:pPr>
      <w:r>
        <w:rPr>
          <w:szCs w:val="21"/>
        </w:rPr>
        <w:t xml:space="preserve">5.1.2 </w:t>
      </w:r>
      <w:r>
        <w:rPr>
          <w:szCs w:val="21"/>
        </w:rPr>
        <w:t>水文地质勘察</w:t>
      </w:r>
    </w:p>
    <w:p w14:paraId="261A8AEC" w14:textId="77777777" w:rsidR="0014798F" w:rsidRDefault="00FE0155">
      <w:pPr>
        <w:pStyle w:val="1"/>
        <w:ind w:firstLineChars="200" w:firstLine="420"/>
      </w:pPr>
      <w:r>
        <w:t>水文地质勘查应以现有水文地质资料为主，当资料适用性及真实性不足时，需进行水文地质勘查。通过水文地质调查掌握石油开采区及周边区域水文地质结构、地下水流场、地下水补给径流和排泄情况、地下水与地表水水力联系、地下水开发利用状况和水文地质参数等。</w:t>
      </w:r>
    </w:p>
    <w:p w14:paraId="261A8AED" w14:textId="77777777" w:rsidR="0014798F" w:rsidRDefault="00FE0155">
      <w:pPr>
        <w:spacing w:beforeLines="50" w:before="156" w:afterLines="50" w:after="156"/>
        <w:rPr>
          <w:szCs w:val="21"/>
        </w:rPr>
      </w:pPr>
      <w:r>
        <w:rPr>
          <w:szCs w:val="21"/>
        </w:rPr>
        <w:t xml:space="preserve">5.1.3 </w:t>
      </w:r>
      <w:r>
        <w:rPr>
          <w:szCs w:val="21"/>
        </w:rPr>
        <w:t>土壤环境补充调查</w:t>
      </w:r>
    </w:p>
    <w:p w14:paraId="261A8AEE" w14:textId="77777777" w:rsidR="0014798F" w:rsidRDefault="00FE0155">
      <w:pPr>
        <w:pStyle w:val="1"/>
        <w:ind w:firstLineChars="200" w:firstLine="420"/>
      </w:pPr>
      <w:r>
        <w:t>当前期收集资料不足以进行土壤环境质量评价时，需进行补充调查，并结合收集的资料，更新概念模型。</w:t>
      </w:r>
    </w:p>
    <w:p w14:paraId="261A8AEF" w14:textId="77777777" w:rsidR="0014798F" w:rsidRDefault="00FE0155">
      <w:pPr>
        <w:pStyle w:val="1"/>
        <w:ind w:firstLineChars="200" w:firstLine="420"/>
      </w:pPr>
      <w:r>
        <w:t>补充调查进行</w:t>
      </w:r>
      <w:r>
        <w:t>HJ 25.1-2019</w:t>
      </w:r>
      <w:r>
        <w:t>中的第二阶段和第三阶段污染状况调查，主要包括土壤、地下水样品的采集分析工作以及场地或区域地块特征参数分析，并根据实际需要选取适当的参数进行调查。所需详细工作计划及步骤参照</w:t>
      </w:r>
      <w:r>
        <w:t>HJ 25.1-2019</w:t>
      </w:r>
      <w:r>
        <w:t>、</w:t>
      </w:r>
      <w:r>
        <w:t>HJ 25.2-2019</w:t>
      </w:r>
      <w:r>
        <w:t>和</w:t>
      </w:r>
      <w:r>
        <w:t>HJ/T 164</w:t>
      </w:r>
      <w:r>
        <w:t>、</w:t>
      </w:r>
      <w:r>
        <w:t>HJ/T 166</w:t>
      </w:r>
      <w:r>
        <w:t>。更新概念模型在于分析石油开采区地质与水文地质条件、土壤地下水污染特征、受体与周边环境状况等，可采用文字、图、表等方式，便于指导污染源防治方案制定，具体参照</w:t>
      </w:r>
      <w:r>
        <w:t>HJ 25.4-2019</w:t>
      </w:r>
      <w:r>
        <w:t>和</w:t>
      </w:r>
      <w:r>
        <w:t>HJ 25.6-2019</w:t>
      </w:r>
      <w:r>
        <w:t>。</w:t>
      </w:r>
    </w:p>
    <w:p w14:paraId="261A8AF0" w14:textId="77777777" w:rsidR="0014798F" w:rsidRDefault="00FE0155">
      <w:pPr>
        <w:pStyle w:val="ab"/>
        <w:spacing w:beforeLines="50" w:before="156" w:afterLines="50" w:after="156" w:line="276" w:lineRule="auto"/>
        <w:ind w:firstLineChars="0" w:firstLine="0"/>
        <w:outlineLvl w:val="1"/>
        <w:rPr>
          <w:rFonts w:ascii="Times New Roman" w:eastAsia="黑体"/>
          <w:szCs w:val="22"/>
        </w:rPr>
      </w:pPr>
      <w:bookmarkStart w:id="146" w:name="_Toc177687485"/>
      <w:bookmarkStart w:id="147" w:name="_Toc13661"/>
      <w:bookmarkStart w:id="148" w:name="_Toc5894"/>
      <w:bookmarkStart w:id="149" w:name="_Toc171804428"/>
      <w:r>
        <w:rPr>
          <w:rFonts w:ascii="Times New Roman" w:eastAsia="黑体"/>
          <w:szCs w:val="22"/>
        </w:rPr>
        <w:t xml:space="preserve">5.2 </w:t>
      </w:r>
      <w:r>
        <w:rPr>
          <w:rFonts w:ascii="Times New Roman" w:eastAsia="黑体"/>
          <w:szCs w:val="22"/>
        </w:rPr>
        <w:t>石油开采区地下水污染</w:t>
      </w:r>
      <w:r>
        <w:rPr>
          <w:rFonts w:ascii="Times New Roman" w:eastAsia="黑体" w:hint="eastAsia"/>
          <w:szCs w:val="22"/>
        </w:rPr>
        <w:t>源</w:t>
      </w:r>
      <w:r>
        <w:rPr>
          <w:rFonts w:ascii="Times New Roman" w:eastAsia="黑体"/>
          <w:szCs w:val="22"/>
        </w:rPr>
        <w:t>调查</w:t>
      </w:r>
      <w:bookmarkEnd w:id="146"/>
      <w:bookmarkEnd w:id="147"/>
    </w:p>
    <w:p w14:paraId="261A8AF1"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5.2.1 </w:t>
      </w:r>
      <w:r>
        <w:rPr>
          <w:rFonts w:ascii="Times New Roman" w:hint="eastAsia"/>
          <w:kern w:val="2"/>
          <w:szCs w:val="22"/>
        </w:rPr>
        <w:t>污染源特征分析：这一部分的调查将重点关注潜在污染物的种类、排放源的强度、排放的位置以及污染的传播路径。同时，还需评估污染影响的范围、周围环境的防渗措施，以及污染物存在的时间。通过对这些特征的全面了解，可以初步识别出污染源对地下水的潜在威胁。</w:t>
      </w:r>
    </w:p>
    <w:p w14:paraId="261A8AF2"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5.2.2 </w:t>
      </w:r>
      <w:r>
        <w:rPr>
          <w:rFonts w:ascii="Times New Roman" w:hint="eastAsia"/>
          <w:kern w:val="2"/>
          <w:szCs w:val="22"/>
        </w:rPr>
        <w:t>建立污染源识别指标体系：基于上述分析结果，构建一个系统化的地下水重点污染源识别指标体系。这一指标体系将包含多个维度，包括污染物的性质、排放强度、影响范围等，以便于系统化地评估和识别不同污染源的危害程度。</w:t>
      </w:r>
    </w:p>
    <w:p w14:paraId="261A8AF3"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5.2.3 </w:t>
      </w:r>
      <w:r>
        <w:rPr>
          <w:rFonts w:ascii="Times New Roman" w:hint="eastAsia"/>
          <w:kern w:val="2"/>
          <w:szCs w:val="22"/>
        </w:rPr>
        <w:t>潜在污染物识别：在调查过程中，通过对污染源的详细环境考察，确定与典型污染源相关的地下水污染物清单。结合综合评分法，系统地识别出这些典型污染源所可能引发的地下水潜在污染物。这样可以为后续的污染防治措施提供科学依据。</w:t>
      </w:r>
      <w:r>
        <w:rPr>
          <w:rFonts w:ascii="Times New Roman" w:hint="eastAsia"/>
          <w:kern w:val="2"/>
          <w:szCs w:val="22"/>
        </w:rPr>
        <w:t xml:space="preserve">5.2.4 </w:t>
      </w:r>
      <w:r>
        <w:rPr>
          <w:rFonts w:ascii="Times New Roman" w:hint="eastAsia"/>
          <w:kern w:val="2"/>
          <w:szCs w:val="22"/>
        </w:rPr>
        <w:t>地下水污染源危害性评价：最后，利用综合污染指数法和叠加指数法等多种评估方法，对地下水污染源的危害性进行综合评价。这一评价将依据分级结果，识别出地下水的重点污染源，以便于相关部门采取有效措施进行管理和治理</w:t>
      </w:r>
      <w:r>
        <w:rPr>
          <w:rFonts w:ascii="Times New Roman"/>
          <w:kern w:val="2"/>
          <w:szCs w:val="22"/>
        </w:rPr>
        <w:t>。</w:t>
      </w:r>
    </w:p>
    <w:p w14:paraId="261A8AF4" w14:textId="77777777" w:rsidR="0014798F" w:rsidRDefault="00FE0155">
      <w:pPr>
        <w:pStyle w:val="ab"/>
        <w:spacing w:beforeLines="50" w:before="156" w:afterLines="50" w:after="156" w:line="276" w:lineRule="auto"/>
        <w:ind w:firstLineChars="0" w:firstLine="0"/>
        <w:outlineLvl w:val="1"/>
        <w:rPr>
          <w:rFonts w:ascii="Times New Roman" w:eastAsia="黑体"/>
          <w:szCs w:val="22"/>
        </w:rPr>
      </w:pPr>
      <w:bookmarkStart w:id="150" w:name="_Toc950"/>
      <w:r>
        <w:rPr>
          <w:rFonts w:ascii="Times New Roman" w:eastAsia="黑体" w:hint="eastAsia"/>
          <w:szCs w:val="22"/>
        </w:rPr>
        <w:t xml:space="preserve">5.3 </w:t>
      </w:r>
      <w:r>
        <w:rPr>
          <w:rFonts w:ascii="Times New Roman" w:eastAsia="黑体" w:hint="eastAsia"/>
          <w:szCs w:val="22"/>
        </w:rPr>
        <w:t>土壤地下水石油污染源分析</w:t>
      </w:r>
      <w:bookmarkEnd w:id="150"/>
    </w:p>
    <w:p w14:paraId="261A8AF5" w14:textId="77777777" w:rsidR="0014798F" w:rsidRDefault="00FE0155">
      <w:pPr>
        <w:pStyle w:val="ab"/>
        <w:spacing w:line="300" w:lineRule="auto"/>
        <w:ind w:firstLineChars="0" w:firstLine="0"/>
        <w:rPr>
          <w:rFonts w:ascii="Times New Roman"/>
          <w:kern w:val="2"/>
          <w:szCs w:val="22"/>
        </w:rPr>
      </w:pPr>
      <w:r>
        <w:rPr>
          <w:rFonts w:ascii="Times New Roman" w:hint="eastAsia"/>
          <w:kern w:val="2"/>
          <w:szCs w:val="22"/>
        </w:rPr>
        <w:lastRenderedPageBreak/>
        <w:t>常见污染物详见下表</w:t>
      </w:r>
      <w:r>
        <w:rPr>
          <w:rFonts w:ascii="Times New Roman" w:hint="eastAsia"/>
          <w:kern w:val="2"/>
          <w:szCs w:val="22"/>
        </w:rPr>
        <w:t>5-1</w:t>
      </w:r>
      <w:r>
        <w:rPr>
          <w:rFonts w:ascii="Times New Roman" w:hint="eastAsia"/>
          <w:kern w:val="2"/>
          <w:szCs w:val="22"/>
        </w:rPr>
        <w:t>。</w:t>
      </w:r>
    </w:p>
    <w:p w14:paraId="261A8AF6" w14:textId="77777777" w:rsidR="0014798F" w:rsidRDefault="00FE0155">
      <w:pPr>
        <w:pStyle w:val="ab"/>
        <w:spacing w:line="300" w:lineRule="auto"/>
        <w:ind w:firstLineChars="0" w:firstLine="0"/>
        <w:jc w:val="center"/>
        <w:rPr>
          <w:rFonts w:ascii="Times New Roman"/>
          <w:kern w:val="2"/>
          <w:szCs w:val="22"/>
        </w:rPr>
      </w:pPr>
      <w:r>
        <w:rPr>
          <w:rFonts w:ascii="Times New Roman" w:hint="eastAsia"/>
          <w:kern w:val="2"/>
          <w:szCs w:val="22"/>
        </w:rPr>
        <w:t>表</w:t>
      </w:r>
      <w:r>
        <w:rPr>
          <w:rFonts w:ascii="Times New Roman" w:hint="eastAsia"/>
          <w:kern w:val="2"/>
          <w:szCs w:val="22"/>
        </w:rPr>
        <w:t xml:space="preserve">5-1  </w:t>
      </w:r>
      <w:r>
        <w:rPr>
          <w:rFonts w:ascii="Times New Roman" w:hint="eastAsia"/>
          <w:kern w:val="2"/>
          <w:szCs w:val="22"/>
        </w:rPr>
        <w:t>石油开采区常见污染源统计表</w:t>
      </w:r>
    </w:p>
    <w:tbl>
      <w:tblPr>
        <w:tblW w:w="4999" w:type="pct"/>
        <w:jc w:val="center"/>
        <w:tblLook w:val="04A0" w:firstRow="1" w:lastRow="0" w:firstColumn="1" w:lastColumn="0" w:noHBand="0" w:noVBand="1"/>
      </w:tblPr>
      <w:tblGrid>
        <w:gridCol w:w="3000"/>
        <w:gridCol w:w="3001"/>
        <w:gridCol w:w="3001"/>
      </w:tblGrid>
      <w:tr w:rsidR="0014798F" w14:paraId="261A8AFA" w14:textId="77777777">
        <w:trPr>
          <w:jc w:val="center"/>
        </w:trPr>
        <w:tc>
          <w:tcPr>
            <w:tcW w:w="1666" w:type="pct"/>
            <w:tcBorders>
              <w:top w:val="single" w:sz="12" w:space="0" w:color="auto"/>
              <w:bottom w:val="single" w:sz="6" w:space="0" w:color="auto"/>
            </w:tcBorders>
            <w:shd w:val="clear" w:color="auto" w:fill="auto"/>
            <w:vAlign w:val="center"/>
          </w:tcPr>
          <w:p w14:paraId="261A8AF7" w14:textId="77777777" w:rsidR="0014798F" w:rsidRDefault="00FE0155">
            <w:pPr>
              <w:pStyle w:val="ab"/>
              <w:spacing w:line="300" w:lineRule="auto"/>
              <w:ind w:firstLineChars="0" w:firstLine="0"/>
              <w:jc w:val="center"/>
              <w:rPr>
                <w:rFonts w:ascii="Times New Roman"/>
                <w:kern w:val="2"/>
                <w:szCs w:val="22"/>
              </w:rPr>
            </w:pPr>
            <w:r>
              <w:rPr>
                <w:rFonts w:ascii="Times New Roman" w:hint="eastAsia"/>
                <w:kern w:val="2"/>
                <w:szCs w:val="22"/>
              </w:rPr>
              <w:t>污染源</w:t>
            </w:r>
          </w:p>
        </w:tc>
        <w:tc>
          <w:tcPr>
            <w:tcW w:w="1666" w:type="pct"/>
            <w:tcBorders>
              <w:top w:val="single" w:sz="12" w:space="0" w:color="auto"/>
              <w:bottom w:val="single" w:sz="6" w:space="0" w:color="auto"/>
            </w:tcBorders>
            <w:shd w:val="clear" w:color="auto" w:fill="auto"/>
            <w:vAlign w:val="center"/>
          </w:tcPr>
          <w:p w14:paraId="261A8AF8" w14:textId="77777777" w:rsidR="0014798F" w:rsidRDefault="00FE0155">
            <w:pPr>
              <w:pStyle w:val="ab"/>
              <w:spacing w:line="300" w:lineRule="auto"/>
              <w:ind w:firstLineChars="0" w:firstLine="0"/>
              <w:jc w:val="center"/>
              <w:rPr>
                <w:rFonts w:ascii="Times New Roman"/>
                <w:kern w:val="2"/>
                <w:szCs w:val="22"/>
              </w:rPr>
            </w:pPr>
            <w:r>
              <w:rPr>
                <w:rFonts w:ascii="Times New Roman" w:hint="eastAsia"/>
                <w:kern w:val="2"/>
                <w:szCs w:val="22"/>
              </w:rPr>
              <w:t>污染危害</w:t>
            </w:r>
          </w:p>
        </w:tc>
        <w:tc>
          <w:tcPr>
            <w:tcW w:w="1666" w:type="pct"/>
            <w:tcBorders>
              <w:top w:val="single" w:sz="12" w:space="0" w:color="auto"/>
              <w:bottom w:val="single" w:sz="6" w:space="0" w:color="auto"/>
            </w:tcBorders>
            <w:shd w:val="clear" w:color="auto" w:fill="auto"/>
            <w:vAlign w:val="center"/>
          </w:tcPr>
          <w:p w14:paraId="261A8AF9" w14:textId="77777777" w:rsidR="0014798F" w:rsidRDefault="00FE0155">
            <w:pPr>
              <w:pStyle w:val="ab"/>
              <w:spacing w:line="300" w:lineRule="auto"/>
              <w:ind w:firstLineChars="0" w:firstLine="0"/>
              <w:jc w:val="center"/>
              <w:rPr>
                <w:rFonts w:ascii="Times New Roman"/>
                <w:kern w:val="2"/>
                <w:szCs w:val="22"/>
              </w:rPr>
            </w:pPr>
            <w:r>
              <w:rPr>
                <w:rFonts w:ascii="Times New Roman" w:hint="eastAsia"/>
                <w:kern w:val="2"/>
                <w:szCs w:val="22"/>
              </w:rPr>
              <w:t>产生方式</w:t>
            </w:r>
          </w:p>
        </w:tc>
      </w:tr>
      <w:tr w:rsidR="0014798F" w14:paraId="261A8AFE" w14:textId="77777777">
        <w:trPr>
          <w:trHeight w:val="979"/>
          <w:jc w:val="center"/>
        </w:trPr>
        <w:tc>
          <w:tcPr>
            <w:tcW w:w="1666" w:type="pct"/>
            <w:tcBorders>
              <w:top w:val="single" w:sz="6" w:space="0" w:color="auto"/>
            </w:tcBorders>
            <w:shd w:val="clear" w:color="auto" w:fill="auto"/>
            <w:vAlign w:val="center"/>
          </w:tcPr>
          <w:p w14:paraId="261A8AFB" w14:textId="77777777" w:rsidR="0014798F" w:rsidRDefault="00FE0155">
            <w:pPr>
              <w:pStyle w:val="ab"/>
              <w:spacing w:line="300" w:lineRule="auto"/>
              <w:ind w:firstLineChars="0" w:firstLine="0"/>
              <w:jc w:val="center"/>
              <w:rPr>
                <w:rFonts w:ascii="Times New Roman"/>
                <w:kern w:val="2"/>
                <w:szCs w:val="22"/>
              </w:rPr>
            </w:pPr>
            <w:r>
              <w:rPr>
                <w:rFonts w:ascii="Times New Roman" w:hint="eastAsia"/>
                <w:kern w:val="2"/>
                <w:szCs w:val="22"/>
              </w:rPr>
              <w:t>原油污染</w:t>
            </w:r>
          </w:p>
        </w:tc>
        <w:tc>
          <w:tcPr>
            <w:tcW w:w="1666" w:type="pct"/>
            <w:tcBorders>
              <w:top w:val="single" w:sz="6" w:space="0" w:color="auto"/>
            </w:tcBorders>
            <w:shd w:val="clear" w:color="auto" w:fill="auto"/>
            <w:vAlign w:val="center"/>
          </w:tcPr>
          <w:p w14:paraId="261A8AFC" w14:textId="77777777" w:rsidR="0014798F" w:rsidRDefault="00FE0155">
            <w:pPr>
              <w:pStyle w:val="ab"/>
              <w:spacing w:line="300" w:lineRule="auto"/>
              <w:ind w:firstLineChars="0" w:firstLine="0"/>
              <w:jc w:val="center"/>
              <w:rPr>
                <w:rFonts w:ascii="Times New Roman"/>
                <w:kern w:val="2"/>
                <w:szCs w:val="22"/>
              </w:rPr>
            </w:pPr>
            <w:r>
              <w:rPr>
                <w:rFonts w:ascii="Times New Roman"/>
                <w:kern w:val="2"/>
                <w:szCs w:val="22"/>
              </w:rPr>
              <w:t>直接污染土壤和地下水，导致生态系统的严重破坏。</w:t>
            </w:r>
          </w:p>
        </w:tc>
        <w:tc>
          <w:tcPr>
            <w:tcW w:w="1666" w:type="pct"/>
            <w:tcBorders>
              <w:top w:val="single" w:sz="6" w:space="0" w:color="auto"/>
            </w:tcBorders>
            <w:shd w:val="clear" w:color="auto" w:fill="auto"/>
            <w:vAlign w:val="center"/>
          </w:tcPr>
          <w:p w14:paraId="261A8AFD" w14:textId="77777777" w:rsidR="0014798F" w:rsidRDefault="00FE0155">
            <w:pPr>
              <w:pStyle w:val="ab"/>
              <w:spacing w:line="300" w:lineRule="auto"/>
              <w:ind w:firstLineChars="0" w:firstLine="0"/>
              <w:jc w:val="center"/>
              <w:rPr>
                <w:rFonts w:ascii="Times New Roman"/>
                <w:kern w:val="2"/>
                <w:szCs w:val="22"/>
              </w:rPr>
            </w:pPr>
            <w:r>
              <w:rPr>
                <w:rFonts w:ascii="Times New Roman"/>
                <w:kern w:val="2"/>
                <w:szCs w:val="22"/>
              </w:rPr>
              <w:t>油井、管道、储油罐等设施的破裂或腐蚀。</w:t>
            </w:r>
          </w:p>
        </w:tc>
      </w:tr>
      <w:tr w:rsidR="0014798F" w14:paraId="261A8B02" w14:textId="77777777">
        <w:trPr>
          <w:trHeight w:val="1141"/>
          <w:jc w:val="center"/>
        </w:trPr>
        <w:tc>
          <w:tcPr>
            <w:tcW w:w="1666" w:type="pct"/>
            <w:shd w:val="clear" w:color="auto" w:fill="auto"/>
            <w:vAlign w:val="center"/>
          </w:tcPr>
          <w:p w14:paraId="261A8AFF" w14:textId="77777777" w:rsidR="0014798F" w:rsidRDefault="00FE0155">
            <w:pPr>
              <w:pStyle w:val="ab"/>
              <w:spacing w:line="300" w:lineRule="auto"/>
              <w:ind w:firstLineChars="0" w:firstLine="0"/>
              <w:jc w:val="center"/>
              <w:rPr>
                <w:rFonts w:ascii="Times New Roman"/>
                <w:kern w:val="2"/>
                <w:szCs w:val="22"/>
              </w:rPr>
            </w:pPr>
            <w:r>
              <w:rPr>
                <w:rFonts w:ascii="Times New Roman" w:hint="eastAsia"/>
                <w:kern w:val="2"/>
                <w:szCs w:val="22"/>
              </w:rPr>
              <w:t>废水排放污染</w:t>
            </w:r>
          </w:p>
        </w:tc>
        <w:tc>
          <w:tcPr>
            <w:tcW w:w="1666" w:type="pct"/>
            <w:shd w:val="clear" w:color="auto" w:fill="auto"/>
            <w:vAlign w:val="center"/>
          </w:tcPr>
          <w:p w14:paraId="261A8B00" w14:textId="77777777" w:rsidR="0014798F" w:rsidRDefault="00FE0155">
            <w:pPr>
              <w:pStyle w:val="ab"/>
              <w:spacing w:line="300" w:lineRule="auto"/>
              <w:ind w:firstLineChars="0" w:firstLine="0"/>
              <w:jc w:val="center"/>
              <w:rPr>
                <w:rFonts w:ascii="Times New Roman"/>
                <w:kern w:val="2"/>
                <w:szCs w:val="22"/>
              </w:rPr>
            </w:pPr>
            <w:r>
              <w:rPr>
                <w:rFonts w:ascii="Times New Roman"/>
                <w:kern w:val="2"/>
                <w:szCs w:val="22"/>
              </w:rPr>
              <w:t>含有大量有毒化学物质和重金属，可能渗入地下水，造成水源污染。</w:t>
            </w:r>
          </w:p>
        </w:tc>
        <w:tc>
          <w:tcPr>
            <w:tcW w:w="1666" w:type="pct"/>
            <w:shd w:val="clear" w:color="auto" w:fill="auto"/>
            <w:vAlign w:val="center"/>
          </w:tcPr>
          <w:p w14:paraId="261A8B01" w14:textId="77777777" w:rsidR="0014798F" w:rsidRDefault="00FE0155">
            <w:pPr>
              <w:pStyle w:val="ab"/>
              <w:spacing w:line="300" w:lineRule="auto"/>
              <w:ind w:firstLineChars="0" w:firstLine="0"/>
              <w:jc w:val="center"/>
              <w:rPr>
                <w:rFonts w:ascii="Times New Roman"/>
                <w:kern w:val="2"/>
                <w:szCs w:val="22"/>
              </w:rPr>
            </w:pPr>
            <w:r>
              <w:rPr>
                <w:rFonts w:ascii="Times New Roman"/>
                <w:kern w:val="2"/>
                <w:szCs w:val="22"/>
              </w:rPr>
              <w:t>开采过程中产生的含油废水、冷却水和回注水等</w:t>
            </w:r>
          </w:p>
        </w:tc>
      </w:tr>
      <w:tr w:rsidR="0014798F" w14:paraId="261A8B06" w14:textId="77777777">
        <w:trPr>
          <w:jc w:val="center"/>
        </w:trPr>
        <w:tc>
          <w:tcPr>
            <w:tcW w:w="1666" w:type="pct"/>
            <w:shd w:val="clear" w:color="auto" w:fill="auto"/>
            <w:vAlign w:val="center"/>
          </w:tcPr>
          <w:p w14:paraId="261A8B03" w14:textId="77777777" w:rsidR="0014798F" w:rsidRDefault="00FE0155">
            <w:pPr>
              <w:pStyle w:val="ab"/>
              <w:spacing w:line="300" w:lineRule="auto"/>
              <w:ind w:firstLineChars="0" w:firstLine="0"/>
              <w:jc w:val="center"/>
              <w:rPr>
                <w:rFonts w:ascii="Times New Roman"/>
                <w:kern w:val="2"/>
                <w:szCs w:val="22"/>
              </w:rPr>
            </w:pPr>
            <w:r>
              <w:rPr>
                <w:rFonts w:ascii="Times New Roman" w:hint="eastAsia"/>
                <w:kern w:val="2"/>
                <w:szCs w:val="22"/>
              </w:rPr>
              <w:t>固体废物</w:t>
            </w:r>
          </w:p>
        </w:tc>
        <w:tc>
          <w:tcPr>
            <w:tcW w:w="1666" w:type="pct"/>
            <w:shd w:val="clear" w:color="auto" w:fill="auto"/>
            <w:vAlign w:val="center"/>
          </w:tcPr>
          <w:p w14:paraId="261A8B04" w14:textId="77777777" w:rsidR="0014798F" w:rsidRDefault="00FE0155">
            <w:pPr>
              <w:pStyle w:val="ab"/>
              <w:spacing w:line="300" w:lineRule="auto"/>
              <w:ind w:firstLineChars="0" w:firstLine="0"/>
              <w:jc w:val="center"/>
              <w:rPr>
                <w:rFonts w:ascii="Times New Roman"/>
                <w:kern w:val="2"/>
                <w:szCs w:val="22"/>
              </w:rPr>
            </w:pPr>
            <w:r>
              <w:rPr>
                <w:rFonts w:ascii="Times New Roman"/>
                <w:kern w:val="2"/>
                <w:szCs w:val="22"/>
              </w:rPr>
              <w:t>堆放不当会导致土壤和水体的污染，部分废物可能含有致癌物质。</w:t>
            </w:r>
          </w:p>
        </w:tc>
        <w:tc>
          <w:tcPr>
            <w:tcW w:w="1666" w:type="pct"/>
            <w:shd w:val="clear" w:color="auto" w:fill="auto"/>
            <w:vAlign w:val="center"/>
          </w:tcPr>
          <w:p w14:paraId="261A8B05" w14:textId="77777777" w:rsidR="0014798F" w:rsidRDefault="00FE0155">
            <w:pPr>
              <w:pStyle w:val="ab"/>
              <w:spacing w:line="300" w:lineRule="auto"/>
              <w:ind w:firstLineChars="0" w:firstLine="0"/>
              <w:jc w:val="center"/>
              <w:rPr>
                <w:rFonts w:ascii="Times New Roman"/>
                <w:kern w:val="2"/>
                <w:szCs w:val="22"/>
              </w:rPr>
            </w:pPr>
            <w:r>
              <w:rPr>
                <w:rFonts w:ascii="Times New Roman"/>
                <w:kern w:val="2"/>
                <w:szCs w:val="22"/>
              </w:rPr>
              <w:t>泥浆、钻屑、设备维修产生的废弃物等。</w:t>
            </w:r>
          </w:p>
        </w:tc>
      </w:tr>
      <w:tr w:rsidR="0014798F" w14:paraId="261A8B0A" w14:textId="77777777">
        <w:trPr>
          <w:jc w:val="center"/>
        </w:trPr>
        <w:tc>
          <w:tcPr>
            <w:tcW w:w="1666" w:type="pct"/>
            <w:tcBorders>
              <w:bottom w:val="single" w:sz="12" w:space="0" w:color="auto"/>
            </w:tcBorders>
            <w:shd w:val="clear" w:color="auto" w:fill="auto"/>
            <w:vAlign w:val="center"/>
          </w:tcPr>
          <w:p w14:paraId="261A8B07" w14:textId="77777777" w:rsidR="0014798F" w:rsidRDefault="00FE0155">
            <w:pPr>
              <w:pStyle w:val="ab"/>
              <w:spacing w:line="300" w:lineRule="auto"/>
              <w:ind w:firstLineChars="0" w:firstLine="0"/>
              <w:jc w:val="center"/>
              <w:rPr>
                <w:rFonts w:ascii="Times New Roman"/>
                <w:kern w:val="2"/>
                <w:szCs w:val="22"/>
              </w:rPr>
            </w:pPr>
            <w:r>
              <w:rPr>
                <w:rFonts w:ascii="Times New Roman" w:hint="eastAsia"/>
                <w:kern w:val="2"/>
                <w:szCs w:val="22"/>
              </w:rPr>
              <w:t>重金属污染</w:t>
            </w:r>
          </w:p>
        </w:tc>
        <w:tc>
          <w:tcPr>
            <w:tcW w:w="1666" w:type="pct"/>
            <w:tcBorders>
              <w:bottom w:val="single" w:sz="12" w:space="0" w:color="auto"/>
            </w:tcBorders>
            <w:shd w:val="clear" w:color="auto" w:fill="auto"/>
            <w:vAlign w:val="center"/>
          </w:tcPr>
          <w:p w14:paraId="261A8B08" w14:textId="77777777" w:rsidR="0014798F" w:rsidRDefault="00FE0155">
            <w:pPr>
              <w:pStyle w:val="ab"/>
              <w:spacing w:line="300" w:lineRule="auto"/>
              <w:ind w:firstLineChars="0" w:firstLine="0"/>
              <w:jc w:val="center"/>
              <w:rPr>
                <w:rFonts w:ascii="Times New Roman"/>
                <w:kern w:val="2"/>
                <w:szCs w:val="22"/>
              </w:rPr>
            </w:pPr>
            <w:r>
              <w:rPr>
                <w:rFonts w:ascii="Times New Roman"/>
                <w:kern w:val="2"/>
                <w:szCs w:val="22"/>
              </w:rPr>
              <w:t>重金属可通过食物链积累，对人类健康和生态系统造成长期影响。</w:t>
            </w:r>
          </w:p>
        </w:tc>
        <w:tc>
          <w:tcPr>
            <w:tcW w:w="1666" w:type="pct"/>
            <w:tcBorders>
              <w:bottom w:val="single" w:sz="12" w:space="0" w:color="auto"/>
            </w:tcBorders>
            <w:shd w:val="clear" w:color="auto" w:fill="auto"/>
            <w:vAlign w:val="center"/>
          </w:tcPr>
          <w:p w14:paraId="261A8B09" w14:textId="77777777" w:rsidR="0014798F" w:rsidRDefault="00FE0155">
            <w:pPr>
              <w:pStyle w:val="ab"/>
              <w:spacing w:line="300" w:lineRule="auto"/>
              <w:ind w:firstLineChars="0" w:firstLine="0"/>
              <w:jc w:val="center"/>
              <w:rPr>
                <w:rFonts w:ascii="Times New Roman"/>
                <w:kern w:val="2"/>
                <w:szCs w:val="22"/>
              </w:rPr>
            </w:pPr>
            <w:r>
              <w:rPr>
                <w:rFonts w:ascii="Times New Roman"/>
                <w:kern w:val="2"/>
                <w:szCs w:val="22"/>
              </w:rPr>
              <w:t>开采过程中使用的化学剂和设备腐蚀。</w:t>
            </w:r>
          </w:p>
        </w:tc>
      </w:tr>
    </w:tbl>
    <w:p w14:paraId="261A8B0B" w14:textId="77777777" w:rsidR="0014798F" w:rsidRDefault="00FE0155">
      <w:pPr>
        <w:pStyle w:val="a"/>
        <w:tabs>
          <w:tab w:val="left" w:pos="9355"/>
        </w:tabs>
        <w:outlineLvl w:val="0"/>
        <w:rPr>
          <w:rFonts w:ascii="Times New Roman"/>
        </w:rPr>
      </w:pPr>
      <w:bookmarkStart w:id="151" w:name="_Toc31923"/>
      <w:r>
        <w:rPr>
          <w:rFonts w:ascii="Times New Roman"/>
        </w:rPr>
        <w:t>石油开采区土壤染源控制</w:t>
      </w:r>
      <w:r>
        <w:rPr>
          <w:rFonts w:ascii="Times New Roman" w:hint="eastAsia"/>
        </w:rPr>
        <w:t>技术</w:t>
      </w:r>
      <w:bookmarkEnd w:id="151"/>
    </w:p>
    <w:p w14:paraId="261A8B0C" w14:textId="77777777" w:rsidR="0014798F" w:rsidRDefault="00FE0155">
      <w:pPr>
        <w:pStyle w:val="ab"/>
        <w:spacing w:beforeLines="50" w:before="156" w:afterLines="50" w:after="156" w:line="276" w:lineRule="auto"/>
        <w:ind w:firstLineChars="0" w:firstLine="0"/>
        <w:outlineLvl w:val="1"/>
        <w:rPr>
          <w:rFonts w:ascii="Times New Roman" w:eastAsia="黑体"/>
          <w:szCs w:val="22"/>
        </w:rPr>
      </w:pPr>
      <w:bookmarkStart w:id="152" w:name="_Toc16148"/>
      <w:r>
        <w:rPr>
          <w:rFonts w:ascii="Times New Roman" w:eastAsia="黑体" w:hint="eastAsia"/>
          <w:szCs w:val="22"/>
        </w:rPr>
        <w:t xml:space="preserve">6.1 </w:t>
      </w:r>
      <w:r>
        <w:rPr>
          <w:rFonts w:ascii="Times New Roman" w:eastAsia="黑体" w:hint="eastAsia"/>
          <w:szCs w:val="22"/>
        </w:rPr>
        <w:t>土壤垂直阻隔技术</w:t>
      </w:r>
      <w:bookmarkEnd w:id="152"/>
    </w:p>
    <w:p w14:paraId="261A8B0D" w14:textId="77777777" w:rsidR="0014798F" w:rsidRDefault="00FE0155">
      <w:pPr>
        <w:pStyle w:val="ab"/>
        <w:spacing w:line="276" w:lineRule="auto"/>
        <w:rPr>
          <w:rFonts w:ascii="Times New Roman" w:cs="MingLiU"/>
          <w:kern w:val="2"/>
          <w:szCs w:val="24"/>
          <w:lang w:bidi="zh-CN"/>
        </w:rPr>
      </w:pPr>
      <w:r>
        <w:rPr>
          <w:rFonts w:ascii="Times New Roman" w:cs="MingLiU" w:hint="eastAsia"/>
          <w:kern w:val="2"/>
          <w:szCs w:val="24"/>
          <w:lang w:bidi="zh-CN"/>
        </w:rPr>
        <w:t>在油田、炼油厂、油罐区等地，石油泄漏常常会造成土壤和地下水的污染。土壤垂直阻隔技术可以在泄漏源区域设置屏障，防止石油污染物继续向深层土壤或地下水扩散。使用具有不透水性质的材料，如粘土、塑料膜、钢板等，在泄漏区域周围构建垂直屏障，从而隔绝污染源，防止污染物向下渗透。</w:t>
      </w:r>
    </w:p>
    <w:p w14:paraId="261A8B0E" w14:textId="77777777" w:rsidR="0014798F" w:rsidRDefault="00FE0155">
      <w:pPr>
        <w:pStyle w:val="ab"/>
        <w:spacing w:line="276" w:lineRule="auto"/>
        <w:ind w:firstLineChars="0" w:firstLine="0"/>
        <w:rPr>
          <w:rFonts w:ascii="Times New Roman" w:cs="MingLiU"/>
          <w:kern w:val="2"/>
          <w:szCs w:val="24"/>
          <w:lang w:bidi="zh-CN"/>
        </w:rPr>
      </w:pPr>
      <w:r>
        <w:rPr>
          <w:rFonts w:ascii="Times New Roman" w:cs="MingLiU" w:hint="eastAsia"/>
          <w:kern w:val="2"/>
          <w:szCs w:val="24"/>
          <w:lang w:bidi="zh-CN"/>
        </w:rPr>
        <w:t xml:space="preserve">6.1.1 </w:t>
      </w:r>
      <w:r>
        <w:rPr>
          <w:rFonts w:ascii="Times New Roman" w:cs="MingLiU" w:hint="eastAsia"/>
          <w:kern w:val="2"/>
          <w:szCs w:val="24"/>
          <w:lang w:bidi="zh-CN"/>
        </w:rPr>
        <w:t>阻隔层采用竖向布置的形式，阻断污染介质向周边环境的迁移输送的阻隔技术。包括土</w:t>
      </w:r>
      <w:r>
        <w:rPr>
          <w:rFonts w:ascii="Times New Roman" w:cs="MingLiU" w:hint="eastAsia"/>
          <w:kern w:val="2"/>
          <w:szCs w:val="24"/>
          <w:lang w:bidi="zh-CN"/>
        </w:rPr>
        <w:t>-</w:t>
      </w:r>
      <w:r>
        <w:rPr>
          <w:rFonts w:ascii="Times New Roman" w:cs="MingLiU" w:hint="eastAsia"/>
          <w:kern w:val="2"/>
          <w:szCs w:val="24"/>
          <w:lang w:bidi="zh-CN"/>
        </w:rPr>
        <w:t>膨润土隔离墙、高压喷射灌浆墙、搅拌桩墙、搅喷桩墙、水泥帷幕灌注浆墙、土工膜墙、渗透反应墙等技术。</w:t>
      </w:r>
    </w:p>
    <w:p w14:paraId="261A8B0F" w14:textId="77777777" w:rsidR="0014798F" w:rsidRDefault="00FE0155">
      <w:pPr>
        <w:pStyle w:val="ab"/>
        <w:spacing w:line="276" w:lineRule="auto"/>
        <w:ind w:firstLineChars="0" w:firstLine="0"/>
        <w:rPr>
          <w:rFonts w:ascii="Times New Roman" w:cs="MingLiU"/>
          <w:kern w:val="2"/>
          <w:szCs w:val="24"/>
          <w:lang w:bidi="zh-CN"/>
        </w:rPr>
      </w:pPr>
      <w:r>
        <w:rPr>
          <w:rFonts w:ascii="Times New Roman" w:cs="MingLiU" w:hint="eastAsia"/>
          <w:kern w:val="2"/>
          <w:szCs w:val="24"/>
          <w:lang w:bidi="zh-CN"/>
        </w:rPr>
        <w:t xml:space="preserve">6.1.2 </w:t>
      </w:r>
      <w:r>
        <w:rPr>
          <w:rFonts w:ascii="Times New Roman" w:cs="MingLiU" w:hint="eastAsia"/>
          <w:kern w:val="2"/>
          <w:szCs w:val="24"/>
          <w:lang w:bidi="zh-CN"/>
        </w:rPr>
        <w:t>土壤垂直阻隔技术可分成取代法、挖掘法、注射法等基本类型。各类型特点及适用性见表</w:t>
      </w:r>
      <w:r>
        <w:rPr>
          <w:rFonts w:ascii="Times New Roman" w:cs="MingLiU" w:hint="eastAsia"/>
          <w:kern w:val="2"/>
          <w:szCs w:val="24"/>
          <w:lang w:bidi="zh-CN"/>
        </w:rPr>
        <w:t>6-1</w:t>
      </w:r>
      <w:r>
        <w:rPr>
          <w:rFonts w:ascii="Times New Roman" w:cs="MingLiU" w:hint="eastAsia"/>
          <w:kern w:val="2"/>
          <w:szCs w:val="24"/>
          <w:lang w:bidi="zh-CN"/>
        </w:rPr>
        <w:t>。</w:t>
      </w:r>
    </w:p>
    <w:p w14:paraId="261A8B10" w14:textId="77777777" w:rsidR="0014798F" w:rsidRDefault="00FE0155">
      <w:pPr>
        <w:pStyle w:val="ab"/>
        <w:spacing w:line="276" w:lineRule="auto"/>
        <w:ind w:firstLineChars="0" w:firstLine="0"/>
        <w:rPr>
          <w:rFonts w:ascii="Times New Roman" w:cs="MingLiU"/>
          <w:kern w:val="2"/>
          <w:szCs w:val="24"/>
          <w:lang w:bidi="zh-CN"/>
        </w:rPr>
      </w:pPr>
      <w:r>
        <w:rPr>
          <w:rFonts w:ascii="Times New Roman" w:cs="MingLiU" w:hint="eastAsia"/>
          <w:kern w:val="2"/>
          <w:szCs w:val="24"/>
          <w:lang w:bidi="zh-CN"/>
        </w:rPr>
        <w:t xml:space="preserve">6.1.2.1 </w:t>
      </w:r>
      <w:r>
        <w:rPr>
          <w:rFonts w:ascii="Times New Roman" w:cs="MingLiU" w:hint="eastAsia"/>
          <w:kern w:val="2"/>
          <w:szCs w:val="24"/>
          <w:lang w:bidi="zh-CN"/>
        </w:rPr>
        <w:t>取代法</w:t>
      </w:r>
      <w:r>
        <w:rPr>
          <w:rFonts w:ascii="Times New Roman" w:cs="MingLiU" w:hint="eastAsia"/>
          <w:kern w:val="2"/>
          <w:szCs w:val="24"/>
          <w:lang w:bidi="zh-CN"/>
        </w:rPr>
        <w:t>:</w:t>
      </w:r>
      <w:r>
        <w:rPr>
          <w:rFonts w:ascii="Times New Roman" w:cs="MingLiU" w:hint="eastAsia"/>
          <w:kern w:val="2"/>
          <w:szCs w:val="24"/>
          <w:lang w:bidi="zh-CN"/>
        </w:rPr>
        <w:t>把阻隔系统施工于地下而地面不受大的干扰。其中，钢板桩是最常用的一种方法。</w:t>
      </w:r>
    </w:p>
    <w:p w14:paraId="261A8B11" w14:textId="77777777" w:rsidR="0014798F" w:rsidRDefault="00FE0155">
      <w:pPr>
        <w:pStyle w:val="ab"/>
        <w:spacing w:line="276" w:lineRule="auto"/>
        <w:ind w:firstLineChars="0" w:firstLine="0"/>
        <w:rPr>
          <w:rFonts w:ascii="Times New Roman" w:cs="MingLiU"/>
          <w:kern w:val="2"/>
          <w:szCs w:val="24"/>
          <w:lang w:bidi="zh-CN"/>
        </w:rPr>
      </w:pPr>
      <w:r>
        <w:rPr>
          <w:rFonts w:ascii="Times New Roman" w:cs="MingLiU" w:hint="eastAsia"/>
          <w:kern w:val="2"/>
          <w:szCs w:val="24"/>
          <w:lang w:bidi="zh-CN"/>
        </w:rPr>
        <w:t xml:space="preserve">6.1.2.2 </w:t>
      </w:r>
      <w:r>
        <w:rPr>
          <w:rFonts w:ascii="Times New Roman" w:cs="MingLiU" w:hint="eastAsia"/>
          <w:kern w:val="2"/>
          <w:szCs w:val="24"/>
          <w:lang w:bidi="zh-CN"/>
        </w:rPr>
        <w:t>挖掘法</w:t>
      </w:r>
      <w:r>
        <w:rPr>
          <w:rFonts w:ascii="Times New Roman" w:cs="MingLiU" w:hint="eastAsia"/>
          <w:kern w:val="2"/>
          <w:szCs w:val="24"/>
          <w:lang w:bidi="zh-CN"/>
        </w:rPr>
        <w:t>:</w:t>
      </w:r>
      <w:r>
        <w:rPr>
          <w:rFonts w:ascii="Times New Roman" w:cs="MingLiU" w:hint="eastAsia"/>
          <w:kern w:val="2"/>
          <w:szCs w:val="24"/>
          <w:lang w:bidi="zh-CN"/>
        </w:rPr>
        <w:t>将土壤挖出，然后用阻隔材料代替原有土壤，即建置一低渗透性的垂直阻隔系统，将其插入土壤甚至更深的不透水层。例如，交叉桩法是由一系列连锁相邻的桩构成完整的墙</w:t>
      </w:r>
      <w:r>
        <w:rPr>
          <w:rFonts w:ascii="Times New Roman" w:cs="MingLiU" w:hint="eastAsia"/>
          <w:kern w:val="2"/>
          <w:szCs w:val="24"/>
          <w:lang w:bidi="zh-CN"/>
        </w:rPr>
        <w:t>;</w:t>
      </w:r>
      <w:r>
        <w:rPr>
          <w:rFonts w:ascii="Times New Roman" w:cs="MingLiU" w:hint="eastAsia"/>
          <w:kern w:val="2"/>
          <w:szCs w:val="24"/>
          <w:lang w:bidi="zh-CN"/>
        </w:rPr>
        <w:t>浅层截水墙的建造过程是先用切割机挖出一个足够深的狭槽，然后插入地膜，再用压实的黏土填充</w:t>
      </w:r>
      <w:r>
        <w:rPr>
          <w:rFonts w:ascii="Times New Roman" w:cs="MingLiU" w:hint="eastAsia"/>
          <w:kern w:val="2"/>
          <w:szCs w:val="24"/>
          <w:lang w:bidi="zh-CN"/>
        </w:rPr>
        <w:t>;</w:t>
      </w:r>
      <w:r>
        <w:rPr>
          <w:rFonts w:ascii="Times New Roman" w:cs="MingLiU" w:hint="eastAsia"/>
          <w:kern w:val="2"/>
          <w:szCs w:val="24"/>
          <w:lang w:bidi="zh-CN"/>
        </w:rPr>
        <w:t>泥浆沟渠的建造过程是先挖一条沟渠，然后用不同材质混合的泥浆（如皂土—水泥混合，有时还加入挖出的土壤进行混合）进行填充，形成不同形式的泥浆沟渠，如黏土阻隔系统、皂土—水泥阻隔系统、膜阻隔系统</w:t>
      </w:r>
      <w:r>
        <w:rPr>
          <w:rFonts w:ascii="Times New Roman" w:cs="MingLiU"/>
          <w:kern w:val="2"/>
          <w:szCs w:val="24"/>
          <w:lang w:bidi="zh-CN"/>
        </w:rPr>
        <w:t>和混凝土横隔墙等。</w:t>
      </w:r>
    </w:p>
    <w:p w14:paraId="261A8B12" w14:textId="77777777" w:rsidR="0014798F" w:rsidRDefault="00FE0155">
      <w:pPr>
        <w:pStyle w:val="ab"/>
        <w:spacing w:line="276" w:lineRule="auto"/>
        <w:ind w:firstLineChars="0" w:firstLine="0"/>
        <w:rPr>
          <w:rFonts w:ascii="Times New Roman" w:cs="MingLiU"/>
          <w:kern w:val="2"/>
          <w:szCs w:val="24"/>
          <w:lang w:bidi="zh-CN"/>
        </w:rPr>
      </w:pPr>
      <w:r>
        <w:rPr>
          <w:rFonts w:ascii="Times New Roman" w:cs="MingLiU" w:hint="eastAsia"/>
          <w:kern w:val="2"/>
          <w:szCs w:val="24"/>
          <w:lang w:bidi="zh-CN"/>
        </w:rPr>
        <w:t xml:space="preserve">6.1.2.3 </w:t>
      </w:r>
      <w:r>
        <w:rPr>
          <w:rFonts w:ascii="Times New Roman" w:cs="MingLiU"/>
          <w:kern w:val="2"/>
          <w:szCs w:val="24"/>
          <w:lang w:bidi="zh-CN"/>
        </w:rPr>
        <w:t>注射法</w:t>
      </w:r>
      <w:r>
        <w:rPr>
          <w:rFonts w:ascii="Times New Roman" w:cs="MingLiU"/>
          <w:kern w:val="2"/>
          <w:szCs w:val="24"/>
          <w:lang w:bidi="zh-CN"/>
        </w:rPr>
        <w:t>:</w:t>
      </w:r>
      <w:r>
        <w:rPr>
          <w:rFonts w:ascii="Times New Roman" w:cs="MingLiU"/>
          <w:kern w:val="2"/>
          <w:szCs w:val="24"/>
          <w:lang w:bidi="zh-CN"/>
        </w:rPr>
        <w:t>向土壤中注入一定的材料，填充土壤的空隙、孔隙和裂隙，以降低土壤渗透性的过程。注射法形成的垂直阻隔系统包括化学灌浆阻隔、深层土壤混合（通常是皂土和水泥混合）技术、喷射灌浆和喷射混合灌浆等。</w:t>
      </w:r>
    </w:p>
    <w:p w14:paraId="261A8B13" w14:textId="77777777" w:rsidR="0014798F" w:rsidRDefault="00FE0155">
      <w:pPr>
        <w:pStyle w:val="ab"/>
        <w:spacing w:line="276" w:lineRule="auto"/>
        <w:ind w:firstLineChars="0" w:firstLine="0"/>
        <w:rPr>
          <w:rFonts w:ascii="Times New Roman" w:cs="MingLiU"/>
          <w:kern w:val="2"/>
          <w:szCs w:val="24"/>
          <w:lang w:bidi="zh-CN"/>
        </w:rPr>
      </w:pPr>
      <w:r>
        <w:rPr>
          <w:rFonts w:ascii="Times New Roman" w:cs="MingLiU" w:hint="eastAsia"/>
          <w:kern w:val="2"/>
          <w:szCs w:val="24"/>
          <w:lang w:bidi="zh-CN"/>
        </w:rPr>
        <w:lastRenderedPageBreak/>
        <w:t xml:space="preserve">6.1.2.4 </w:t>
      </w:r>
      <w:r>
        <w:rPr>
          <w:rFonts w:ascii="Times New Roman" w:cs="MingLiU"/>
          <w:kern w:val="2"/>
          <w:szCs w:val="24"/>
          <w:lang w:bidi="zh-CN"/>
        </w:rPr>
        <w:t>其他方法</w:t>
      </w:r>
      <w:r>
        <w:rPr>
          <w:rFonts w:ascii="Times New Roman" w:cs="MingLiU"/>
          <w:kern w:val="2"/>
          <w:szCs w:val="24"/>
          <w:lang w:bidi="zh-CN"/>
        </w:rPr>
        <w:t>:</w:t>
      </w:r>
      <w:r>
        <w:rPr>
          <w:rFonts w:ascii="Times New Roman" w:cs="MingLiU"/>
          <w:kern w:val="2"/>
          <w:szCs w:val="24"/>
          <w:lang w:bidi="zh-CN"/>
        </w:rPr>
        <w:t>包括电动力学阻隔技术、地面冰冻、化学阻隔和生物阻隔等。其中，电动力学阻隔技术是指通过控制电荷形成对污染物迁移进行阻隔的系统。地面冰冻也可以形成垂直阻隔系统，用于控制土壤中污染物的迁移。目前，生物阻隔方法也在发展当中。</w:t>
      </w:r>
    </w:p>
    <w:p w14:paraId="261A8B14" w14:textId="77777777" w:rsidR="0014798F" w:rsidRDefault="00FE0155">
      <w:pPr>
        <w:pStyle w:val="ab"/>
        <w:spacing w:line="300" w:lineRule="auto"/>
        <w:ind w:firstLineChars="0" w:firstLine="0"/>
        <w:jc w:val="center"/>
        <w:rPr>
          <w:rFonts w:ascii="Times New Roman" w:cs="MingLiU"/>
          <w:kern w:val="2"/>
          <w:szCs w:val="24"/>
          <w:lang w:bidi="zh-CN"/>
        </w:rPr>
      </w:pPr>
      <w:r>
        <w:rPr>
          <w:rFonts w:ascii="Times New Roman" w:cs="MingLiU" w:hint="eastAsia"/>
          <w:kern w:val="2"/>
          <w:szCs w:val="24"/>
          <w:lang w:bidi="zh-CN"/>
        </w:rPr>
        <w:t>表</w:t>
      </w:r>
      <w:r>
        <w:rPr>
          <w:rFonts w:ascii="Times New Roman" w:cs="MingLiU" w:hint="eastAsia"/>
          <w:kern w:val="2"/>
          <w:szCs w:val="24"/>
          <w:lang w:bidi="zh-CN"/>
        </w:rPr>
        <w:t xml:space="preserve">6-1 </w:t>
      </w:r>
      <w:r>
        <w:rPr>
          <w:rFonts w:ascii="Times New Roman" w:cs="MingLiU" w:hint="eastAsia"/>
          <w:kern w:val="2"/>
          <w:szCs w:val="24"/>
          <w:lang w:bidi="zh-CN"/>
        </w:rPr>
        <w:t>不同类型垂直阻隔系统的特点及适用性</w:t>
      </w:r>
    </w:p>
    <w:tbl>
      <w:tblPr>
        <w:tblStyle w:val="a7"/>
        <w:tblW w:w="0" w:type="auto"/>
        <w:tblLook w:val="04A0" w:firstRow="1" w:lastRow="0" w:firstColumn="1" w:lastColumn="0" w:noHBand="0" w:noVBand="1"/>
      </w:tblPr>
      <w:tblGrid>
        <w:gridCol w:w="2251"/>
        <w:gridCol w:w="2251"/>
        <w:gridCol w:w="2251"/>
        <w:gridCol w:w="2251"/>
      </w:tblGrid>
      <w:tr w:rsidR="0014798F" w14:paraId="261A8B19" w14:textId="77777777">
        <w:tc>
          <w:tcPr>
            <w:tcW w:w="2251" w:type="dxa"/>
            <w:tcBorders>
              <w:top w:val="single" w:sz="12" w:space="0" w:color="000000"/>
              <w:left w:val="nil"/>
              <w:bottom w:val="single" w:sz="4" w:space="0" w:color="000000"/>
              <w:right w:val="nil"/>
              <w:tl2br w:val="nil"/>
            </w:tcBorders>
            <w:shd w:val="clear" w:color="auto" w:fill="FFFFFF"/>
            <w:vAlign w:val="center"/>
          </w:tcPr>
          <w:p w14:paraId="261A8B15"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类型</w:t>
            </w:r>
          </w:p>
        </w:tc>
        <w:tc>
          <w:tcPr>
            <w:tcW w:w="2251" w:type="dxa"/>
            <w:tcBorders>
              <w:top w:val="single" w:sz="12" w:space="0" w:color="000000"/>
              <w:left w:val="nil"/>
              <w:bottom w:val="single" w:sz="4" w:space="0" w:color="000000"/>
              <w:right w:val="nil"/>
            </w:tcBorders>
            <w:shd w:val="clear" w:color="auto" w:fill="FFFFFF"/>
            <w:vAlign w:val="center"/>
          </w:tcPr>
          <w:p w14:paraId="261A8B16"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应用</w:t>
            </w:r>
          </w:p>
        </w:tc>
        <w:tc>
          <w:tcPr>
            <w:tcW w:w="2251" w:type="dxa"/>
            <w:tcBorders>
              <w:top w:val="single" w:sz="12" w:space="0" w:color="000000"/>
              <w:left w:val="nil"/>
              <w:bottom w:val="single" w:sz="4" w:space="0" w:color="000000"/>
              <w:right w:val="nil"/>
            </w:tcBorders>
            <w:shd w:val="clear" w:color="auto" w:fill="FFFFFF"/>
            <w:vAlign w:val="center"/>
          </w:tcPr>
          <w:p w14:paraId="261A8B17"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适用性</w:t>
            </w:r>
          </w:p>
        </w:tc>
        <w:tc>
          <w:tcPr>
            <w:tcW w:w="2251" w:type="dxa"/>
            <w:tcBorders>
              <w:top w:val="single" w:sz="12" w:space="0" w:color="000000"/>
              <w:left w:val="nil"/>
              <w:bottom w:val="single" w:sz="4" w:space="0" w:color="000000"/>
              <w:right w:val="nil"/>
            </w:tcBorders>
            <w:shd w:val="clear" w:color="auto" w:fill="FFFFFF"/>
            <w:vAlign w:val="center"/>
          </w:tcPr>
          <w:p w14:paraId="261A8B18"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特征</w:t>
            </w:r>
          </w:p>
        </w:tc>
      </w:tr>
      <w:tr w:rsidR="0014798F" w14:paraId="261A8B20" w14:textId="77777777">
        <w:tc>
          <w:tcPr>
            <w:tcW w:w="2251" w:type="dxa"/>
            <w:tcBorders>
              <w:top w:val="single" w:sz="4" w:space="0" w:color="000000"/>
              <w:left w:val="nil"/>
              <w:bottom w:val="nil"/>
              <w:right w:val="nil"/>
            </w:tcBorders>
            <w:shd w:val="clear" w:color="auto" w:fill="FFFFFF"/>
            <w:vAlign w:val="center"/>
          </w:tcPr>
          <w:p w14:paraId="261A8B1A"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取代法</w:t>
            </w:r>
          </w:p>
        </w:tc>
        <w:tc>
          <w:tcPr>
            <w:tcW w:w="2251" w:type="dxa"/>
            <w:tcBorders>
              <w:top w:val="single" w:sz="4" w:space="0" w:color="000000"/>
              <w:left w:val="nil"/>
              <w:bottom w:val="nil"/>
              <w:right w:val="nil"/>
            </w:tcBorders>
            <w:shd w:val="clear" w:color="auto" w:fill="FFFFFF"/>
            <w:vAlign w:val="center"/>
          </w:tcPr>
          <w:p w14:paraId="261A8B1B"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钢板桩</w:t>
            </w:r>
          </w:p>
          <w:p w14:paraId="261A8B1C"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震动波墙</w:t>
            </w:r>
          </w:p>
          <w:p w14:paraId="261A8B1D"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膜墙</w:t>
            </w:r>
          </w:p>
        </w:tc>
        <w:tc>
          <w:tcPr>
            <w:tcW w:w="2251" w:type="dxa"/>
            <w:tcBorders>
              <w:top w:val="single" w:sz="4" w:space="0" w:color="000000"/>
              <w:left w:val="nil"/>
              <w:bottom w:val="nil"/>
              <w:right w:val="nil"/>
            </w:tcBorders>
            <w:shd w:val="clear" w:color="auto" w:fill="FFFFFF"/>
            <w:vAlign w:val="center"/>
          </w:tcPr>
          <w:p w14:paraId="261A8B1E"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大多数土壤类型，但大石头、岩石或大量废弃物存在或许会影响施工</w:t>
            </w:r>
          </w:p>
        </w:tc>
        <w:tc>
          <w:tcPr>
            <w:tcW w:w="2251" w:type="dxa"/>
            <w:tcBorders>
              <w:top w:val="single" w:sz="4" w:space="0" w:color="000000"/>
              <w:left w:val="nil"/>
              <w:bottom w:val="nil"/>
              <w:right w:val="nil"/>
            </w:tcBorders>
            <w:shd w:val="clear" w:color="auto" w:fill="FFFFFF"/>
            <w:vAlign w:val="center"/>
          </w:tcPr>
          <w:p w14:paraId="261A8B1F"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低</w:t>
            </w:r>
            <w:r>
              <w:rPr>
                <w:rFonts w:ascii="Times New Roman" w:cs="MingLiU" w:hint="eastAsia"/>
                <w:color w:val="000000"/>
                <w:kern w:val="2"/>
                <w:szCs w:val="24"/>
                <w:lang w:bidi="zh-CN"/>
              </w:rPr>
              <w:t xml:space="preserve"> </w:t>
            </w:r>
            <w:r>
              <w:rPr>
                <w:rFonts w:ascii="Times New Roman" w:cs="MingLiU" w:hint="eastAsia"/>
                <w:color w:val="000000"/>
                <w:kern w:val="2"/>
                <w:szCs w:val="24"/>
                <w:lang w:bidi="zh-CN"/>
              </w:rPr>
              <w:t>pH</w:t>
            </w:r>
            <w:r>
              <w:rPr>
                <w:rFonts w:ascii="Times New Roman" w:cs="MingLiU" w:hint="eastAsia"/>
                <w:color w:val="000000"/>
                <w:kern w:val="2"/>
                <w:szCs w:val="24"/>
                <w:lang w:bidi="zh-CN"/>
              </w:rPr>
              <w:t>土壤一般对苯和甲苯等污染物具有抗性</w:t>
            </w:r>
            <w:r>
              <w:rPr>
                <w:rFonts w:ascii="Times New Roman" w:cs="MingLiU" w:hint="eastAsia"/>
                <w:color w:val="000000"/>
                <w:kern w:val="2"/>
                <w:szCs w:val="24"/>
                <w:lang w:bidi="zh-CN"/>
              </w:rPr>
              <w:t>;</w:t>
            </w:r>
            <w:r>
              <w:rPr>
                <w:rFonts w:ascii="Times New Roman" w:cs="MingLiU" w:hint="eastAsia"/>
                <w:color w:val="000000"/>
                <w:kern w:val="2"/>
                <w:szCs w:val="24"/>
                <w:lang w:bidi="zh-CN"/>
              </w:rPr>
              <w:t>钢板桩的地方也需要结构上或机械上的支持</w:t>
            </w:r>
          </w:p>
        </w:tc>
      </w:tr>
      <w:tr w:rsidR="0014798F" w14:paraId="261A8B29" w14:textId="77777777">
        <w:tc>
          <w:tcPr>
            <w:tcW w:w="2251" w:type="dxa"/>
            <w:tcBorders>
              <w:top w:val="nil"/>
              <w:left w:val="nil"/>
              <w:bottom w:val="nil"/>
              <w:right w:val="nil"/>
            </w:tcBorders>
            <w:shd w:val="clear" w:color="auto" w:fill="FFFFFF"/>
            <w:vAlign w:val="center"/>
          </w:tcPr>
          <w:p w14:paraId="261A8B21"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挖掘法</w:t>
            </w:r>
          </w:p>
        </w:tc>
        <w:tc>
          <w:tcPr>
            <w:tcW w:w="2251" w:type="dxa"/>
            <w:tcBorders>
              <w:top w:val="nil"/>
              <w:left w:val="nil"/>
              <w:bottom w:val="nil"/>
              <w:right w:val="nil"/>
            </w:tcBorders>
            <w:shd w:val="clear" w:color="auto" w:fill="FFFFFF"/>
            <w:vAlign w:val="center"/>
          </w:tcPr>
          <w:p w14:paraId="261A8B22"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横切堆积墙</w:t>
            </w:r>
          </w:p>
          <w:p w14:paraId="261A8B23"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浅层切断墙</w:t>
            </w:r>
          </w:p>
          <w:p w14:paraId="261A8B24"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喷射灌浆</w:t>
            </w:r>
          </w:p>
          <w:p w14:paraId="261A8B25"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泥浆沟渠</w:t>
            </w:r>
          </w:p>
          <w:p w14:paraId="261A8B26"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混凝土横隔墙</w:t>
            </w:r>
          </w:p>
        </w:tc>
        <w:tc>
          <w:tcPr>
            <w:tcW w:w="2251" w:type="dxa"/>
            <w:tcBorders>
              <w:top w:val="nil"/>
              <w:left w:val="nil"/>
              <w:bottom w:val="nil"/>
              <w:right w:val="nil"/>
            </w:tcBorders>
            <w:shd w:val="clear" w:color="auto" w:fill="FFFFFF"/>
            <w:vAlign w:val="center"/>
          </w:tcPr>
          <w:p w14:paraId="261A8B27"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大多数土壤和岩石类型</w:t>
            </w:r>
          </w:p>
        </w:tc>
        <w:tc>
          <w:tcPr>
            <w:tcW w:w="2251" w:type="dxa"/>
            <w:tcBorders>
              <w:top w:val="nil"/>
              <w:left w:val="nil"/>
              <w:bottom w:val="nil"/>
              <w:right w:val="nil"/>
            </w:tcBorders>
            <w:shd w:val="clear" w:color="auto" w:fill="FFFFFF"/>
            <w:vAlign w:val="center"/>
          </w:tcPr>
          <w:p w14:paraId="261A8B28"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w:t>
            </w:r>
          </w:p>
        </w:tc>
      </w:tr>
      <w:tr w:rsidR="0014798F" w14:paraId="261A8B31" w14:textId="77777777">
        <w:tc>
          <w:tcPr>
            <w:tcW w:w="2251" w:type="dxa"/>
            <w:tcBorders>
              <w:top w:val="nil"/>
              <w:left w:val="nil"/>
              <w:bottom w:val="nil"/>
              <w:right w:val="nil"/>
            </w:tcBorders>
            <w:shd w:val="clear" w:color="auto" w:fill="FFFFFF"/>
            <w:vAlign w:val="center"/>
          </w:tcPr>
          <w:p w14:paraId="261A8B2A"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注射法</w:t>
            </w:r>
          </w:p>
        </w:tc>
        <w:tc>
          <w:tcPr>
            <w:tcW w:w="2251" w:type="dxa"/>
            <w:tcBorders>
              <w:top w:val="nil"/>
              <w:left w:val="nil"/>
              <w:bottom w:val="nil"/>
              <w:right w:val="nil"/>
            </w:tcBorders>
            <w:shd w:val="clear" w:color="auto" w:fill="FFFFFF"/>
            <w:vAlign w:val="center"/>
          </w:tcPr>
          <w:p w14:paraId="261A8B2B"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水泥或化学灌浆</w:t>
            </w:r>
          </w:p>
          <w:p w14:paraId="261A8B2C"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喷射灌浆</w:t>
            </w:r>
          </w:p>
          <w:p w14:paraId="261A8B2D"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喷射混合</w:t>
            </w:r>
          </w:p>
        </w:tc>
        <w:tc>
          <w:tcPr>
            <w:tcW w:w="2251" w:type="dxa"/>
            <w:tcBorders>
              <w:top w:val="nil"/>
              <w:left w:val="nil"/>
              <w:bottom w:val="nil"/>
              <w:right w:val="nil"/>
            </w:tcBorders>
            <w:shd w:val="clear" w:color="auto" w:fill="FFFFFF"/>
            <w:vAlign w:val="center"/>
          </w:tcPr>
          <w:p w14:paraId="261A8B2E"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最好是粒状土壤或破碎的岩石，而黏土或废弃物效果较差</w:t>
            </w:r>
          </w:p>
          <w:p w14:paraId="261A8B2F" w14:textId="77777777" w:rsidR="0014798F" w:rsidRDefault="0014798F">
            <w:pPr>
              <w:pStyle w:val="ab"/>
              <w:widowControl/>
              <w:ind w:firstLineChars="0" w:firstLine="0"/>
              <w:jc w:val="center"/>
              <w:rPr>
                <w:rFonts w:ascii="Times New Roman" w:cs="MingLiU"/>
                <w:color w:val="000000"/>
                <w:kern w:val="2"/>
                <w:szCs w:val="24"/>
                <w:lang w:bidi="zh-CN"/>
              </w:rPr>
            </w:pPr>
          </w:p>
        </w:tc>
        <w:tc>
          <w:tcPr>
            <w:tcW w:w="2251" w:type="dxa"/>
            <w:tcBorders>
              <w:top w:val="nil"/>
              <w:left w:val="nil"/>
              <w:bottom w:val="nil"/>
              <w:right w:val="nil"/>
            </w:tcBorders>
            <w:shd w:val="clear" w:color="auto" w:fill="FFFFFF"/>
            <w:vAlign w:val="center"/>
          </w:tcPr>
          <w:p w14:paraId="261A8B30"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w:t>
            </w:r>
          </w:p>
        </w:tc>
      </w:tr>
      <w:tr w:rsidR="0014798F" w14:paraId="261A8B39" w14:textId="77777777">
        <w:tc>
          <w:tcPr>
            <w:tcW w:w="2251" w:type="dxa"/>
            <w:tcBorders>
              <w:top w:val="nil"/>
              <w:left w:val="nil"/>
              <w:bottom w:val="single" w:sz="12" w:space="0" w:color="000000"/>
              <w:right w:val="nil"/>
            </w:tcBorders>
            <w:shd w:val="clear" w:color="auto" w:fill="FFFFFF"/>
            <w:vAlign w:val="center"/>
          </w:tcPr>
          <w:p w14:paraId="261A8B32"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其他</w:t>
            </w:r>
          </w:p>
        </w:tc>
        <w:tc>
          <w:tcPr>
            <w:tcW w:w="2251" w:type="dxa"/>
            <w:tcBorders>
              <w:top w:val="nil"/>
              <w:left w:val="nil"/>
              <w:bottom w:val="single" w:sz="12" w:space="0" w:color="000000"/>
              <w:right w:val="nil"/>
            </w:tcBorders>
            <w:shd w:val="clear" w:color="auto" w:fill="FFFFFF"/>
            <w:vAlign w:val="center"/>
          </w:tcPr>
          <w:p w14:paraId="261A8B33"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地面冰冻</w:t>
            </w:r>
          </w:p>
          <w:p w14:paraId="261A8B34"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电动力学</w:t>
            </w:r>
          </w:p>
          <w:p w14:paraId="261A8B35"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生物阻隔</w:t>
            </w:r>
          </w:p>
          <w:p w14:paraId="261A8B36"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化学阻隔</w:t>
            </w:r>
          </w:p>
        </w:tc>
        <w:tc>
          <w:tcPr>
            <w:tcW w:w="2251" w:type="dxa"/>
            <w:tcBorders>
              <w:top w:val="nil"/>
              <w:left w:val="nil"/>
              <w:bottom w:val="single" w:sz="12" w:space="0" w:color="000000"/>
              <w:right w:val="nil"/>
            </w:tcBorders>
            <w:shd w:val="clear" w:color="auto" w:fill="FFFFFF"/>
            <w:vAlign w:val="center"/>
          </w:tcPr>
          <w:p w14:paraId="261A8B37"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地面冰冻只在一定颗粒大小的土壤（主要是砂土）上有过成功的实例</w:t>
            </w:r>
          </w:p>
        </w:tc>
        <w:tc>
          <w:tcPr>
            <w:tcW w:w="2251" w:type="dxa"/>
            <w:tcBorders>
              <w:top w:val="nil"/>
              <w:left w:val="nil"/>
              <w:bottom w:val="single" w:sz="12" w:space="0" w:color="000000"/>
              <w:right w:val="nil"/>
            </w:tcBorders>
            <w:shd w:val="clear" w:color="auto" w:fill="FFFFFF"/>
            <w:vAlign w:val="center"/>
          </w:tcPr>
          <w:p w14:paraId="261A8B38" w14:textId="77777777" w:rsidR="0014798F" w:rsidRDefault="00FE0155">
            <w:pPr>
              <w:pStyle w:val="ab"/>
              <w:widowControl/>
              <w:ind w:firstLineChars="0" w:firstLine="0"/>
              <w:jc w:val="center"/>
              <w:rPr>
                <w:rFonts w:ascii="Times New Roman" w:cs="MingLiU"/>
                <w:color w:val="000000"/>
                <w:kern w:val="2"/>
                <w:szCs w:val="24"/>
                <w:lang w:bidi="zh-CN"/>
              </w:rPr>
            </w:pPr>
            <w:r>
              <w:rPr>
                <w:rFonts w:ascii="Times New Roman" w:cs="MingLiU" w:hint="eastAsia"/>
                <w:color w:val="000000"/>
                <w:kern w:val="2"/>
                <w:szCs w:val="24"/>
                <w:lang w:bidi="zh-CN"/>
              </w:rPr>
              <w:t>/</w:t>
            </w:r>
          </w:p>
        </w:tc>
      </w:tr>
    </w:tbl>
    <w:p w14:paraId="261A8B3A" w14:textId="77777777" w:rsidR="0014798F" w:rsidRDefault="00FE0155">
      <w:pPr>
        <w:pStyle w:val="ab"/>
        <w:spacing w:beforeLines="50" w:before="156" w:afterLines="50" w:after="156" w:line="276" w:lineRule="auto"/>
        <w:ind w:firstLineChars="0" w:firstLine="0"/>
        <w:outlineLvl w:val="1"/>
        <w:rPr>
          <w:rFonts w:ascii="Times New Roman" w:eastAsia="黑体"/>
          <w:szCs w:val="22"/>
        </w:rPr>
      </w:pPr>
      <w:bookmarkStart w:id="153" w:name="_Toc9109"/>
      <w:r>
        <w:rPr>
          <w:rFonts w:ascii="Times New Roman" w:eastAsia="黑体"/>
          <w:szCs w:val="22"/>
        </w:rPr>
        <w:t>6.</w:t>
      </w:r>
      <w:r>
        <w:rPr>
          <w:rFonts w:ascii="Times New Roman" w:eastAsia="黑体" w:hint="eastAsia"/>
          <w:szCs w:val="22"/>
        </w:rPr>
        <w:t>2</w:t>
      </w:r>
      <w:r>
        <w:rPr>
          <w:rFonts w:ascii="Times New Roman" w:eastAsia="黑体"/>
          <w:szCs w:val="22"/>
        </w:rPr>
        <w:t xml:space="preserve"> </w:t>
      </w:r>
      <w:r>
        <w:rPr>
          <w:rFonts w:ascii="Times New Roman" w:eastAsia="黑体" w:hint="eastAsia"/>
          <w:szCs w:val="22"/>
        </w:rPr>
        <w:t>采油泥沙处理技术</w:t>
      </w:r>
      <w:bookmarkEnd w:id="153"/>
    </w:p>
    <w:p w14:paraId="261A8B3B"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6.2.1 </w:t>
      </w:r>
      <w:r>
        <w:rPr>
          <w:rFonts w:ascii="Times New Roman" w:hint="eastAsia"/>
          <w:kern w:val="2"/>
          <w:szCs w:val="22"/>
        </w:rPr>
        <w:t>采油泥沙参考</w:t>
      </w:r>
      <w:r>
        <w:rPr>
          <w:rFonts w:ascii="Times New Roman" w:hint="eastAsia"/>
          <w:kern w:val="2"/>
          <w:szCs w:val="22"/>
        </w:rPr>
        <w:t xml:space="preserve">SY/T </w:t>
      </w:r>
      <w:r>
        <w:rPr>
          <w:rFonts w:ascii="Times New Roman" w:hint="eastAsia"/>
          <w:kern w:val="2"/>
          <w:szCs w:val="22"/>
        </w:rPr>
        <w:t>7300-2016</w:t>
      </w:r>
      <w:r>
        <w:rPr>
          <w:rFonts w:ascii="Times New Roman" w:hint="eastAsia"/>
          <w:kern w:val="2"/>
          <w:szCs w:val="22"/>
        </w:rPr>
        <w:t>标准进行处理，处理要求按照以下要求进行。主要包括有化学热洗技术、燃料化技术、热解技术、蒸汽喷射技术、常温溶剂萃取技术和微生物修复技术。</w:t>
      </w:r>
    </w:p>
    <w:p w14:paraId="261A8B3C"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6.2.1.1 </w:t>
      </w:r>
      <w:r>
        <w:rPr>
          <w:rFonts w:ascii="Times New Roman" w:hint="eastAsia"/>
          <w:kern w:val="2"/>
          <w:szCs w:val="22"/>
        </w:rPr>
        <w:t>化学热洗技术</w:t>
      </w:r>
    </w:p>
    <w:p w14:paraId="261A8B3D" w14:textId="77777777" w:rsidR="0014798F" w:rsidRDefault="00FE0155">
      <w:pPr>
        <w:pStyle w:val="ab"/>
        <w:spacing w:line="276" w:lineRule="auto"/>
        <w:rPr>
          <w:rFonts w:ascii="Times New Roman"/>
          <w:kern w:val="2"/>
          <w:szCs w:val="22"/>
        </w:rPr>
      </w:pPr>
      <w:r>
        <w:rPr>
          <w:rFonts w:ascii="Times New Roman" w:hint="eastAsia"/>
          <w:kern w:val="2"/>
          <w:szCs w:val="22"/>
        </w:rPr>
        <w:t>a</w:t>
      </w:r>
      <w:r>
        <w:rPr>
          <w:rFonts w:ascii="Times New Roman" w:hint="eastAsia"/>
          <w:kern w:val="2"/>
          <w:szCs w:val="22"/>
        </w:rPr>
        <w:t>）含油污泥化学热洗处理应包括流化预处理、调质处理、离心分离处理。</w:t>
      </w:r>
    </w:p>
    <w:p w14:paraId="261A8B3E" w14:textId="77777777" w:rsidR="0014798F" w:rsidRDefault="00FE0155">
      <w:pPr>
        <w:pStyle w:val="ab"/>
        <w:spacing w:line="276" w:lineRule="auto"/>
        <w:rPr>
          <w:rFonts w:ascii="Times New Roman"/>
          <w:kern w:val="2"/>
          <w:szCs w:val="22"/>
        </w:rPr>
      </w:pPr>
      <w:r>
        <w:rPr>
          <w:rFonts w:ascii="Times New Roman" w:hint="eastAsia"/>
          <w:kern w:val="2"/>
          <w:szCs w:val="22"/>
        </w:rPr>
        <w:t>b</w:t>
      </w:r>
      <w:r>
        <w:rPr>
          <w:rFonts w:ascii="Times New Roman" w:hint="eastAsia"/>
          <w:kern w:val="2"/>
          <w:szCs w:val="22"/>
        </w:rPr>
        <w:t>）流化预处理可通过油泥分离装置去除大块含油物料和大颗粒含油泥沙，并流化污泥，温度宜控制在</w:t>
      </w:r>
      <w:r>
        <w:rPr>
          <w:rFonts w:ascii="Times New Roman" w:hint="eastAsia"/>
          <w:kern w:val="2"/>
          <w:szCs w:val="22"/>
        </w:rPr>
        <w:t>45</w:t>
      </w:r>
      <w:r>
        <w:rPr>
          <w:rFonts w:ascii="Times New Roman" w:hint="eastAsia"/>
          <w:kern w:val="2"/>
          <w:szCs w:val="22"/>
        </w:rPr>
        <w:t>℃以上。流化预处理后含油污泥中固体颗粒粒径宜小于</w:t>
      </w:r>
      <w:r>
        <w:rPr>
          <w:rFonts w:ascii="Times New Roman" w:hint="eastAsia"/>
          <w:kern w:val="2"/>
          <w:szCs w:val="22"/>
        </w:rPr>
        <w:t>5mm</w:t>
      </w:r>
      <w:r>
        <w:rPr>
          <w:rFonts w:ascii="Times New Roman" w:hint="eastAsia"/>
          <w:kern w:val="2"/>
          <w:szCs w:val="22"/>
        </w:rPr>
        <w:t>。分离装置应有防止油、水、泥落地的设计。</w:t>
      </w:r>
    </w:p>
    <w:p w14:paraId="261A8B3F" w14:textId="77777777" w:rsidR="0014798F" w:rsidRDefault="00FE0155">
      <w:pPr>
        <w:pStyle w:val="ab"/>
        <w:spacing w:line="276" w:lineRule="auto"/>
        <w:rPr>
          <w:rFonts w:ascii="Times New Roman"/>
          <w:kern w:val="2"/>
          <w:szCs w:val="22"/>
        </w:rPr>
      </w:pPr>
      <w:r>
        <w:rPr>
          <w:rFonts w:ascii="Times New Roman" w:hint="eastAsia"/>
          <w:kern w:val="2"/>
          <w:szCs w:val="22"/>
        </w:rPr>
        <w:t>c</w:t>
      </w:r>
      <w:r>
        <w:rPr>
          <w:rFonts w:ascii="Times New Roman" w:hint="eastAsia"/>
          <w:kern w:val="2"/>
          <w:szCs w:val="22"/>
        </w:rPr>
        <w:t>）调质处理宜采用搅拌匀化、加热、投加化学药剂等工艺措施，清洗温度、化学药剂品种应根据污泥物性、脱油效率等现场试验情况确定。</w:t>
      </w:r>
    </w:p>
    <w:p w14:paraId="261A8B40" w14:textId="77777777" w:rsidR="0014798F" w:rsidRDefault="00FE0155">
      <w:pPr>
        <w:pStyle w:val="ab"/>
        <w:spacing w:line="276" w:lineRule="auto"/>
        <w:rPr>
          <w:rFonts w:ascii="Times New Roman"/>
          <w:kern w:val="2"/>
          <w:szCs w:val="22"/>
        </w:rPr>
      </w:pPr>
      <w:r>
        <w:rPr>
          <w:rFonts w:ascii="Times New Roman" w:hint="eastAsia"/>
          <w:kern w:val="2"/>
          <w:szCs w:val="22"/>
        </w:rPr>
        <w:t>d</w:t>
      </w:r>
      <w:r>
        <w:rPr>
          <w:rFonts w:ascii="Times New Roman" w:hint="eastAsia"/>
          <w:kern w:val="2"/>
          <w:szCs w:val="22"/>
        </w:rPr>
        <w:t>）经调质处理后含油污泥宜采用离心机进行固液分离</w:t>
      </w:r>
    </w:p>
    <w:p w14:paraId="261A8B41" w14:textId="77777777" w:rsidR="0014798F" w:rsidRDefault="00FE0155">
      <w:pPr>
        <w:pStyle w:val="ab"/>
        <w:spacing w:line="276" w:lineRule="auto"/>
        <w:rPr>
          <w:rFonts w:ascii="Times New Roman"/>
          <w:kern w:val="2"/>
          <w:szCs w:val="22"/>
        </w:rPr>
      </w:pPr>
      <w:r>
        <w:rPr>
          <w:rFonts w:ascii="Times New Roman" w:hint="eastAsia"/>
          <w:kern w:val="2"/>
          <w:szCs w:val="22"/>
        </w:rPr>
        <w:t>e</w:t>
      </w:r>
      <w:r>
        <w:rPr>
          <w:rFonts w:ascii="Times New Roman" w:hint="eastAsia"/>
          <w:kern w:val="2"/>
          <w:szCs w:val="22"/>
        </w:rPr>
        <w:t>）处理过程产生的废水应循环利用</w:t>
      </w:r>
      <w:r>
        <w:rPr>
          <w:rFonts w:ascii="Times New Roman" w:hint="eastAsia"/>
          <w:kern w:val="2"/>
          <w:szCs w:val="22"/>
        </w:rPr>
        <w:t>;</w:t>
      </w:r>
      <w:r>
        <w:rPr>
          <w:rFonts w:ascii="Times New Roman" w:hint="eastAsia"/>
          <w:kern w:val="2"/>
          <w:szCs w:val="22"/>
        </w:rPr>
        <w:t>无法循环利用的污水，应集中处理。</w:t>
      </w:r>
    </w:p>
    <w:p w14:paraId="261A8B42"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6.2.1.2 </w:t>
      </w:r>
      <w:r>
        <w:rPr>
          <w:rFonts w:ascii="Times New Roman" w:hint="eastAsia"/>
          <w:kern w:val="2"/>
          <w:szCs w:val="22"/>
        </w:rPr>
        <w:t>燃料化技术</w:t>
      </w:r>
    </w:p>
    <w:p w14:paraId="261A8B43" w14:textId="77777777" w:rsidR="0014798F" w:rsidRDefault="00FE0155">
      <w:pPr>
        <w:pStyle w:val="ab"/>
        <w:spacing w:line="276" w:lineRule="auto"/>
        <w:rPr>
          <w:rFonts w:ascii="Times New Roman"/>
          <w:kern w:val="2"/>
          <w:szCs w:val="22"/>
        </w:rPr>
      </w:pPr>
      <w:r>
        <w:rPr>
          <w:rFonts w:ascii="Times New Roman" w:hint="eastAsia"/>
          <w:kern w:val="2"/>
          <w:szCs w:val="22"/>
        </w:rPr>
        <w:t>a</w:t>
      </w:r>
      <w:r>
        <w:rPr>
          <w:rFonts w:ascii="Times New Roman" w:hint="eastAsia"/>
          <w:kern w:val="2"/>
          <w:szCs w:val="22"/>
        </w:rPr>
        <w:t>）含油污泥燃料化技术应包括预处理、脱水处理、制备燃料等</w:t>
      </w:r>
    </w:p>
    <w:p w14:paraId="261A8B44" w14:textId="77777777" w:rsidR="0014798F" w:rsidRDefault="00FE0155">
      <w:pPr>
        <w:pStyle w:val="ab"/>
        <w:spacing w:line="276" w:lineRule="auto"/>
        <w:rPr>
          <w:rFonts w:ascii="Times New Roman"/>
          <w:kern w:val="2"/>
          <w:szCs w:val="22"/>
        </w:rPr>
      </w:pPr>
      <w:r>
        <w:rPr>
          <w:rFonts w:ascii="Times New Roman" w:hint="eastAsia"/>
          <w:kern w:val="2"/>
          <w:szCs w:val="22"/>
        </w:rPr>
        <w:t>b</w:t>
      </w:r>
      <w:r>
        <w:rPr>
          <w:rFonts w:ascii="Times New Roman" w:hint="eastAsia"/>
          <w:kern w:val="2"/>
          <w:szCs w:val="22"/>
        </w:rPr>
        <w:t>）预处理宜采用人工或机械方法分拣去除大块含油物料。</w:t>
      </w:r>
    </w:p>
    <w:p w14:paraId="261A8B45" w14:textId="77777777" w:rsidR="0014798F" w:rsidRDefault="00FE0155">
      <w:pPr>
        <w:pStyle w:val="ab"/>
        <w:spacing w:line="276" w:lineRule="auto"/>
        <w:rPr>
          <w:rFonts w:ascii="Times New Roman"/>
          <w:kern w:val="2"/>
          <w:szCs w:val="22"/>
        </w:rPr>
      </w:pPr>
      <w:r>
        <w:rPr>
          <w:rFonts w:ascii="Times New Roman" w:hint="eastAsia"/>
          <w:kern w:val="2"/>
          <w:szCs w:val="22"/>
        </w:rPr>
        <w:t>c</w:t>
      </w:r>
      <w:r>
        <w:rPr>
          <w:rFonts w:ascii="Times New Roman" w:hint="eastAsia"/>
          <w:kern w:val="2"/>
          <w:szCs w:val="22"/>
        </w:rPr>
        <w:t>）经预处理后含油污泥若含水率大于</w:t>
      </w:r>
      <w:r>
        <w:rPr>
          <w:rFonts w:ascii="Times New Roman" w:hint="eastAsia"/>
          <w:kern w:val="2"/>
          <w:szCs w:val="22"/>
        </w:rPr>
        <w:t>80%</w:t>
      </w:r>
      <w:r>
        <w:rPr>
          <w:rFonts w:ascii="Times New Roman" w:hint="eastAsia"/>
          <w:kern w:val="2"/>
          <w:szCs w:val="22"/>
        </w:rPr>
        <w:t>，应进行脱水处理。</w:t>
      </w:r>
    </w:p>
    <w:p w14:paraId="261A8B46" w14:textId="77777777" w:rsidR="0014798F" w:rsidRDefault="00FE0155">
      <w:pPr>
        <w:pStyle w:val="ab"/>
        <w:spacing w:line="276" w:lineRule="auto"/>
        <w:rPr>
          <w:rFonts w:ascii="Times New Roman"/>
          <w:kern w:val="2"/>
          <w:szCs w:val="22"/>
        </w:rPr>
      </w:pPr>
      <w:r>
        <w:rPr>
          <w:rFonts w:ascii="Times New Roman" w:hint="eastAsia"/>
          <w:kern w:val="2"/>
          <w:szCs w:val="22"/>
        </w:rPr>
        <w:lastRenderedPageBreak/>
        <w:t>d</w:t>
      </w:r>
      <w:r>
        <w:rPr>
          <w:rFonts w:ascii="Times New Roman" w:hint="eastAsia"/>
          <w:kern w:val="2"/>
          <w:szCs w:val="22"/>
        </w:rPr>
        <w:t>）经预处理或脱水处理后的含油污泥宜采用输送装置进入物料混匀装置内，加入干化剂混匀后宜采用低温烘焙方式干燥。</w:t>
      </w:r>
    </w:p>
    <w:p w14:paraId="261A8B47" w14:textId="77777777" w:rsidR="0014798F" w:rsidRDefault="00FE0155">
      <w:pPr>
        <w:pStyle w:val="ab"/>
        <w:spacing w:line="276" w:lineRule="auto"/>
        <w:rPr>
          <w:rFonts w:ascii="Times New Roman"/>
          <w:kern w:val="2"/>
          <w:szCs w:val="22"/>
        </w:rPr>
      </w:pPr>
      <w:r>
        <w:rPr>
          <w:rFonts w:ascii="Times New Roman" w:hint="eastAsia"/>
          <w:kern w:val="2"/>
          <w:szCs w:val="22"/>
        </w:rPr>
        <w:t>e</w:t>
      </w:r>
      <w:r>
        <w:rPr>
          <w:rFonts w:ascii="Times New Roman" w:hint="eastAsia"/>
          <w:kern w:val="2"/>
          <w:szCs w:val="22"/>
        </w:rPr>
        <w:t>）处理过程产生的废水应循环利用</w:t>
      </w:r>
      <w:r>
        <w:rPr>
          <w:rFonts w:ascii="Times New Roman" w:hint="eastAsia"/>
          <w:kern w:val="2"/>
          <w:szCs w:val="22"/>
        </w:rPr>
        <w:t>;</w:t>
      </w:r>
      <w:r>
        <w:rPr>
          <w:rFonts w:ascii="Times New Roman" w:hint="eastAsia"/>
          <w:kern w:val="2"/>
          <w:szCs w:val="22"/>
        </w:rPr>
        <w:t>无法循环利用的污水，应集中处理。</w:t>
      </w:r>
    </w:p>
    <w:p w14:paraId="261A8B48"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6.2.1.3 </w:t>
      </w:r>
      <w:r>
        <w:rPr>
          <w:rFonts w:ascii="Times New Roman" w:hint="eastAsia"/>
          <w:kern w:val="2"/>
          <w:szCs w:val="22"/>
        </w:rPr>
        <w:t>热解技术</w:t>
      </w:r>
    </w:p>
    <w:p w14:paraId="261A8B49" w14:textId="77777777" w:rsidR="0014798F" w:rsidRDefault="00FE0155">
      <w:pPr>
        <w:pStyle w:val="ab"/>
        <w:spacing w:line="276" w:lineRule="auto"/>
        <w:rPr>
          <w:rFonts w:ascii="Times New Roman"/>
          <w:kern w:val="2"/>
          <w:szCs w:val="22"/>
        </w:rPr>
      </w:pPr>
      <w:r>
        <w:rPr>
          <w:rFonts w:ascii="Times New Roman" w:hint="eastAsia"/>
          <w:kern w:val="2"/>
          <w:szCs w:val="22"/>
        </w:rPr>
        <w:t>a</w:t>
      </w:r>
      <w:r>
        <w:rPr>
          <w:rFonts w:ascii="Times New Roman" w:hint="eastAsia"/>
          <w:kern w:val="2"/>
          <w:szCs w:val="22"/>
        </w:rPr>
        <w:t>）含油污泥热解技术应包括预处理、热解、馏分冷凝分离、不凝气焚烧、油品脱臭等过程。</w:t>
      </w:r>
    </w:p>
    <w:p w14:paraId="261A8B4A" w14:textId="77777777" w:rsidR="0014798F" w:rsidRDefault="00FE0155">
      <w:pPr>
        <w:pStyle w:val="ab"/>
        <w:spacing w:line="276" w:lineRule="auto"/>
        <w:rPr>
          <w:rFonts w:ascii="Times New Roman"/>
          <w:kern w:val="2"/>
          <w:szCs w:val="22"/>
        </w:rPr>
      </w:pPr>
      <w:r>
        <w:rPr>
          <w:rFonts w:ascii="Times New Roman" w:hint="eastAsia"/>
          <w:kern w:val="2"/>
          <w:szCs w:val="22"/>
        </w:rPr>
        <w:t>b</w:t>
      </w:r>
      <w:r>
        <w:rPr>
          <w:rFonts w:ascii="Times New Roman" w:hint="eastAsia"/>
          <w:kern w:val="2"/>
          <w:szCs w:val="22"/>
        </w:rPr>
        <w:t>）预处理宜采用人工或机械方法分拣去除大块含油物料。</w:t>
      </w:r>
    </w:p>
    <w:p w14:paraId="261A8B4B" w14:textId="77777777" w:rsidR="0014798F" w:rsidRDefault="00FE0155">
      <w:pPr>
        <w:pStyle w:val="ab"/>
        <w:spacing w:line="276" w:lineRule="auto"/>
        <w:rPr>
          <w:rFonts w:ascii="Times New Roman"/>
          <w:kern w:val="2"/>
          <w:szCs w:val="22"/>
        </w:rPr>
      </w:pPr>
      <w:r>
        <w:rPr>
          <w:rFonts w:ascii="Times New Roman" w:hint="eastAsia"/>
          <w:kern w:val="2"/>
          <w:szCs w:val="22"/>
        </w:rPr>
        <w:t>c</w:t>
      </w:r>
      <w:r>
        <w:rPr>
          <w:rFonts w:ascii="Times New Roman" w:hint="eastAsia"/>
          <w:kern w:val="2"/>
          <w:szCs w:val="22"/>
        </w:rPr>
        <w:t>）经预处理后含油污泥若含水率大于</w:t>
      </w:r>
      <w:r>
        <w:rPr>
          <w:rFonts w:ascii="Times New Roman" w:hint="eastAsia"/>
          <w:kern w:val="2"/>
          <w:szCs w:val="22"/>
        </w:rPr>
        <w:t>80%</w:t>
      </w:r>
      <w:r>
        <w:rPr>
          <w:rFonts w:ascii="Times New Roman" w:hint="eastAsia"/>
          <w:kern w:val="2"/>
          <w:szCs w:val="22"/>
        </w:rPr>
        <w:t>，应进行脱水处理。</w:t>
      </w:r>
    </w:p>
    <w:p w14:paraId="261A8B4C" w14:textId="77777777" w:rsidR="0014798F" w:rsidRDefault="00FE0155">
      <w:pPr>
        <w:pStyle w:val="ab"/>
        <w:spacing w:line="276" w:lineRule="auto"/>
        <w:rPr>
          <w:rFonts w:ascii="Times New Roman"/>
          <w:kern w:val="2"/>
          <w:szCs w:val="22"/>
        </w:rPr>
      </w:pPr>
      <w:r>
        <w:rPr>
          <w:rFonts w:ascii="Times New Roman" w:hint="eastAsia"/>
          <w:kern w:val="2"/>
          <w:szCs w:val="22"/>
        </w:rPr>
        <w:t>d</w:t>
      </w:r>
      <w:r>
        <w:rPr>
          <w:rFonts w:ascii="Times New Roman" w:hint="eastAsia"/>
          <w:kern w:val="2"/>
          <w:szCs w:val="22"/>
        </w:rPr>
        <w:t>）热解工艺设计必须符合相关安全要求</w:t>
      </w:r>
    </w:p>
    <w:p w14:paraId="261A8B4D" w14:textId="77777777" w:rsidR="0014798F" w:rsidRDefault="00FE0155">
      <w:pPr>
        <w:pStyle w:val="ab"/>
        <w:spacing w:line="276" w:lineRule="auto"/>
        <w:rPr>
          <w:rFonts w:ascii="Times New Roman"/>
          <w:kern w:val="2"/>
          <w:szCs w:val="22"/>
        </w:rPr>
      </w:pPr>
      <w:r>
        <w:rPr>
          <w:rFonts w:ascii="Times New Roman" w:hint="eastAsia"/>
          <w:kern w:val="2"/>
          <w:szCs w:val="22"/>
        </w:rPr>
        <w:t>e</w:t>
      </w:r>
      <w:r>
        <w:rPr>
          <w:rFonts w:ascii="Times New Roman" w:hint="eastAsia"/>
          <w:kern w:val="2"/>
          <w:szCs w:val="22"/>
        </w:rPr>
        <w:t>）热解不凝气严禁直接排放。若作为热解炉供热系统的燃料利用，应进行净化和干燥。不具备焚烧条件的要对不凝气进行分解并无害化。</w:t>
      </w:r>
    </w:p>
    <w:p w14:paraId="261A8B4E" w14:textId="77777777" w:rsidR="0014798F" w:rsidRDefault="00FE0155">
      <w:pPr>
        <w:pStyle w:val="ab"/>
        <w:spacing w:line="276" w:lineRule="auto"/>
        <w:rPr>
          <w:rFonts w:ascii="Times New Roman"/>
          <w:kern w:val="2"/>
          <w:szCs w:val="22"/>
        </w:rPr>
      </w:pPr>
      <w:r>
        <w:rPr>
          <w:rFonts w:ascii="Times New Roman" w:hint="eastAsia"/>
          <w:kern w:val="2"/>
          <w:szCs w:val="22"/>
        </w:rPr>
        <w:t>f</w:t>
      </w:r>
      <w:r>
        <w:rPr>
          <w:rFonts w:ascii="Times New Roman" w:hint="eastAsia"/>
          <w:kern w:val="2"/>
          <w:szCs w:val="22"/>
        </w:rPr>
        <w:t>）排渣系统应与炉体密闭连接防止飞灰。</w:t>
      </w:r>
    </w:p>
    <w:p w14:paraId="261A8B4F" w14:textId="77777777" w:rsidR="0014798F" w:rsidRDefault="00FE0155">
      <w:pPr>
        <w:pStyle w:val="ab"/>
        <w:spacing w:line="276" w:lineRule="auto"/>
        <w:rPr>
          <w:rFonts w:ascii="Times New Roman"/>
          <w:kern w:val="2"/>
          <w:szCs w:val="22"/>
        </w:rPr>
      </w:pPr>
      <w:r>
        <w:rPr>
          <w:rFonts w:ascii="Times New Roman" w:hint="eastAsia"/>
          <w:kern w:val="2"/>
          <w:szCs w:val="22"/>
        </w:rPr>
        <w:t>g</w:t>
      </w:r>
      <w:r>
        <w:rPr>
          <w:rFonts w:ascii="Times New Roman" w:hint="eastAsia"/>
          <w:kern w:val="2"/>
          <w:szCs w:val="22"/>
        </w:rPr>
        <w:t>）回收油品应有脱臭处理设施。</w:t>
      </w:r>
    </w:p>
    <w:p w14:paraId="261A8B50"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6.2.1.4 </w:t>
      </w:r>
      <w:r>
        <w:rPr>
          <w:rFonts w:ascii="Times New Roman" w:hint="eastAsia"/>
          <w:kern w:val="2"/>
          <w:szCs w:val="22"/>
        </w:rPr>
        <w:t>蒸汽喷射技术</w:t>
      </w:r>
    </w:p>
    <w:p w14:paraId="261A8B51" w14:textId="77777777" w:rsidR="0014798F" w:rsidRDefault="00FE0155">
      <w:pPr>
        <w:pStyle w:val="ab"/>
        <w:spacing w:line="276" w:lineRule="auto"/>
        <w:rPr>
          <w:rFonts w:ascii="Times New Roman"/>
          <w:kern w:val="2"/>
          <w:szCs w:val="22"/>
        </w:rPr>
      </w:pPr>
      <w:r>
        <w:rPr>
          <w:rFonts w:ascii="Times New Roman" w:hint="eastAsia"/>
          <w:kern w:val="2"/>
          <w:szCs w:val="22"/>
        </w:rPr>
        <w:t>a</w:t>
      </w:r>
      <w:r>
        <w:rPr>
          <w:rFonts w:ascii="Times New Roman" w:hint="eastAsia"/>
          <w:kern w:val="2"/>
          <w:szCs w:val="22"/>
        </w:rPr>
        <w:t>）含油污泥蒸汽喷射技术应包括预处理、脱水处理、蒸汽喷射、油水分离等。</w:t>
      </w:r>
    </w:p>
    <w:p w14:paraId="261A8B52" w14:textId="77777777" w:rsidR="0014798F" w:rsidRDefault="00FE0155">
      <w:pPr>
        <w:pStyle w:val="ab"/>
        <w:spacing w:line="276" w:lineRule="auto"/>
        <w:rPr>
          <w:rFonts w:ascii="Times New Roman"/>
          <w:kern w:val="2"/>
          <w:szCs w:val="22"/>
        </w:rPr>
      </w:pPr>
      <w:r>
        <w:rPr>
          <w:rFonts w:ascii="Times New Roman" w:hint="eastAsia"/>
          <w:kern w:val="2"/>
          <w:szCs w:val="22"/>
        </w:rPr>
        <w:t>b</w:t>
      </w:r>
      <w:r>
        <w:rPr>
          <w:rFonts w:ascii="Times New Roman" w:hint="eastAsia"/>
          <w:kern w:val="2"/>
          <w:szCs w:val="22"/>
        </w:rPr>
        <w:t>）含油污泥若含水率大于</w:t>
      </w:r>
      <w:r>
        <w:rPr>
          <w:rFonts w:ascii="Times New Roman" w:hint="eastAsia"/>
          <w:kern w:val="2"/>
          <w:szCs w:val="22"/>
        </w:rPr>
        <w:t xml:space="preserve"> 80%</w:t>
      </w:r>
      <w:r>
        <w:rPr>
          <w:rFonts w:ascii="Times New Roman" w:hint="eastAsia"/>
          <w:kern w:val="2"/>
          <w:szCs w:val="22"/>
        </w:rPr>
        <w:t>，应进行脱水处理。</w:t>
      </w:r>
    </w:p>
    <w:p w14:paraId="261A8B53" w14:textId="77777777" w:rsidR="0014798F" w:rsidRDefault="00FE0155">
      <w:pPr>
        <w:pStyle w:val="ab"/>
        <w:spacing w:line="276" w:lineRule="auto"/>
        <w:rPr>
          <w:rFonts w:ascii="Times New Roman"/>
          <w:kern w:val="2"/>
          <w:szCs w:val="22"/>
        </w:rPr>
      </w:pPr>
      <w:r>
        <w:rPr>
          <w:rFonts w:ascii="Times New Roman" w:hint="eastAsia"/>
          <w:kern w:val="2"/>
          <w:szCs w:val="22"/>
        </w:rPr>
        <w:t>c</w:t>
      </w:r>
      <w:r>
        <w:rPr>
          <w:rFonts w:ascii="Times New Roman" w:hint="eastAsia"/>
          <w:kern w:val="2"/>
          <w:szCs w:val="22"/>
        </w:rPr>
        <w:t>）蒸汽喷射所用蒸汽温度应高于</w:t>
      </w:r>
      <w:r>
        <w:rPr>
          <w:rFonts w:ascii="Times New Roman" w:hint="eastAsia"/>
          <w:kern w:val="2"/>
          <w:szCs w:val="22"/>
        </w:rPr>
        <w:t xml:space="preserve"> 550</w:t>
      </w:r>
      <w:r>
        <w:rPr>
          <w:rFonts w:ascii="Times New Roman" w:hint="eastAsia"/>
          <w:kern w:val="2"/>
          <w:szCs w:val="22"/>
        </w:rPr>
        <w:t>℃，经喷嘴将超热蒸汽以超高速引入至高温处理器与油泥垂直碰撞。</w:t>
      </w:r>
    </w:p>
    <w:p w14:paraId="261A8B54"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6.2.1.5 </w:t>
      </w:r>
      <w:r>
        <w:rPr>
          <w:rFonts w:ascii="Times New Roman" w:hint="eastAsia"/>
          <w:kern w:val="2"/>
          <w:szCs w:val="22"/>
        </w:rPr>
        <w:t>常温溶剂萃取技术</w:t>
      </w:r>
    </w:p>
    <w:p w14:paraId="261A8B55" w14:textId="77777777" w:rsidR="0014798F" w:rsidRDefault="00FE0155">
      <w:pPr>
        <w:pStyle w:val="ab"/>
        <w:spacing w:line="276" w:lineRule="auto"/>
        <w:rPr>
          <w:rFonts w:ascii="Times New Roman"/>
          <w:kern w:val="2"/>
          <w:szCs w:val="22"/>
        </w:rPr>
      </w:pPr>
      <w:r>
        <w:rPr>
          <w:rFonts w:ascii="Times New Roman"/>
          <w:kern w:val="2"/>
          <w:szCs w:val="22"/>
        </w:rPr>
        <w:t>a</w:t>
      </w:r>
      <w:r>
        <w:rPr>
          <w:rFonts w:ascii="Times New Roman" w:hint="eastAsia"/>
          <w:kern w:val="2"/>
          <w:szCs w:val="22"/>
        </w:rPr>
        <w:t>）</w:t>
      </w:r>
      <w:r>
        <w:rPr>
          <w:rFonts w:ascii="Times New Roman"/>
          <w:kern w:val="2"/>
          <w:szCs w:val="22"/>
        </w:rPr>
        <w:t>常温溶剂萃取技术应包括固液分离、</w:t>
      </w:r>
      <w:r>
        <w:rPr>
          <w:rFonts w:ascii="Times New Roman" w:hint="eastAsia"/>
          <w:kern w:val="2"/>
          <w:szCs w:val="22"/>
        </w:rPr>
        <w:t>萃取</w:t>
      </w:r>
      <w:r>
        <w:rPr>
          <w:rFonts w:ascii="Times New Roman"/>
          <w:kern w:val="2"/>
          <w:szCs w:val="22"/>
        </w:rPr>
        <w:t>等</w:t>
      </w:r>
      <w:r>
        <w:rPr>
          <w:rFonts w:ascii="Times New Roman" w:hint="eastAsia"/>
          <w:kern w:val="2"/>
          <w:szCs w:val="22"/>
        </w:rPr>
        <w:t>。</w:t>
      </w:r>
    </w:p>
    <w:p w14:paraId="261A8B56" w14:textId="77777777" w:rsidR="0014798F" w:rsidRDefault="00FE0155">
      <w:pPr>
        <w:pStyle w:val="ab"/>
        <w:spacing w:line="276" w:lineRule="auto"/>
        <w:rPr>
          <w:rFonts w:ascii="Times New Roman"/>
          <w:kern w:val="2"/>
          <w:szCs w:val="22"/>
        </w:rPr>
      </w:pPr>
      <w:r>
        <w:rPr>
          <w:rFonts w:ascii="Times New Roman" w:hint="eastAsia"/>
          <w:kern w:val="2"/>
          <w:szCs w:val="22"/>
        </w:rPr>
        <w:t>b</w:t>
      </w:r>
      <w:r>
        <w:rPr>
          <w:rFonts w:ascii="Times New Roman" w:hint="eastAsia"/>
          <w:kern w:val="2"/>
          <w:szCs w:val="22"/>
        </w:rPr>
        <w:t>）</w:t>
      </w:r>
      <w:r>
        <w:rPr>
          <w:rFonts w:ascii="Times New Roman"/>
          <w:kern w:val="2"/>
          <w:szCs w:val="22"/>
        </w:rPr>
        <w:t>常温溶剂萃取技术宜处理含油岩屑及清罐油泥等较为均质的含油污泥，经处理后油基钻井液、油品应回收利用。</w:t>
      </w:r>
    </w:p>
    <w:p w14:paraId="261A8B57" w14:textId="77777777" w:rsidR="0014798F" w:rsidRDefault="00FE0155">
      <w:pPr>
        <w:pStyle w:val="ab"/>
        <w:spacing w:line="276" w:lineRule="auto"/>
        <w:rPr>
          <w:rFonts w:ascii="Times New Roman"/>
          <w:kern w:val="2"/>
          <w:szCs w:val="22"/>
        </w:rPr>
      </w:pPr>
      <w:r>
        <w:rPr>
          <w:rFonts w:ascii="Times New Roman"/>
          <w:kern w:val="2"/>
          <w:szCs w:val="22"/>
        </w:rPr>
        <w:t>c</w:t>
      </w:r>
      <w:r>
        <w:rPr>
          <w:rFonts w:ascii="Times New Roman" w:hint="eastAsia"/>
          <w:kern w:val="2"/>
          <w:szCs w:val="22"/>
        </w:rPr>
        <w:t>）</w:t>
      </w:r>
      <w:r>
        <w:rPr>
          <w:rFonts w:ascii="Times New Roman"/>
          <w:kern w:val="2"/>
          <w:szCs w:val="22"/>
        </w:rPr>
        <w:t>常温脱附使用的萃取剂应考虑重复利用。</w:t>
      </w:r>
    </w:p>
    <w:p w14:paraId="261A8B58"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6.2.1.6 </w:t>
      </w:r>
      <w:r>
        <w:rPr>
          <w:rFonts w:ascii="Times New Roman"/>
          <w:kern w:val="2"/>
          <w:szCs w:val="22"/>
        </w:rPr>
        <w:t>微生物修复技术</w:t>
      </w:r>
    </w:p>
    <w:p w14:paraId="261A8B59" w14:textId="77777777" w:rsidR="0014798F" w:rsidRDefault="00FE0155">
      <w:pPr>
        <w:pStyle w:val="ab"/>
        <w:spacing w:line="276" w:lineRule="auto"/>
        <w:rPr>
          <w:rFonts w:ascii="Times New Roman"/>
          <w:kern w:val="2"/>
          <w:szCs w:val="22"/>
        </w:rPr>
      </w:pPr>
      <w:r>
        <w:rPr>
          <w:rFonts w:ascii="Times New Roman"/>
          <w:kern w:val="2"/>
          <w:szCs w:val="22"/>
        </w:rPr>
        <w:t>a</w:t>
      </w:r>
      <w:r>
        <w:rPr>
          <w:rFonts w:ascii="Times New Roman" w:hint="eastAsia"/>
          <w:kern w:val="2"/>
          <w:szCs w:val="22"/>
        </w:rPr>
        <w:t>）</w:t>
      </w:r>
      <w:r>
        <w:rPr>
          <w:rFonts w:ascii="Times New Roman"/>
          <w:kern w:val="2"/>
          <w:szCs w:val="22"/>
        </w:rPr>
        <w:t>采用微生物修复处理时，含油污泥</w:t>
      </w:r>
      <w:r>
        <w:rPr>
          <w:rFonts w:ascii="Times New Roman"/>
          <w:kern w:val="2"/>
          <w:szCs w:val="22"/>
        </w:rPr>
        <w:t>pH</w:t>
      </w:r>
      <w:r>
        <w:rPr>
          <w:rFonts w:ascii="Times New Roman"/>
          <w:kern w:val="2"/>
          <w:szCs w:val="22"/>
        </w:rPr>
        <w:t>宜控制在</w:t>
      </w:r>
      <w:r>
        <w:rPr>
          <w:rFonts w:ascii="Times New Roman"/>
          <w:kern w:val="2"/>
          <w:szCs w:val="22"/>
        </w:rPr>
        <w:t>6~8</w:t>
      </w:r>
      <w:r>
        <w:rPr>
          <w:rFonts w:ascii="Times New Roman" w:hint="eastAsia"/>
          <w:kern w:val="2"/>
          <w:szCs w:val="22"/>
        </w:rPr>
        <w:t>，</w:t>
      </w:r>
      <w:r>
        <w:rPr>
          <w:rFonts w:ascii="Times New Roman"/>
          <w:kern w:val="2"/>
          <w:szCs w:val="22"/>
        </w:rPr>
        <w:t>温度宜控制在</w:t>
      </w:r>
      <w:r>
        <w:rPr>
          <w:rFonts w:ascii="Times New Roman"/>
          <w:kern w:val="2"/>
          <w:szCs w:val="22"/>
        </w:rPr>
        <w:t>15℃~35℃</w:t>
      </w:r>
      <w:r>
        <w:rPr>
          <w:rFonts w:ascii="Times New Roman" w:hint="eastAsia"/>
          <w:kern w:val="2"/>
          <w:szCs w:val="22"/>
        </w:rPr>
        <w:t>，</w:t>
      </w:r>
      <w:r>
        <w:rPr>
          <w:rFonts w:ascii="Times New Roman"/>
          <w:kern w:val="2"/>
          <w:szCs w:val="22"/>
        </w:rPr>
        <w:t>湿度宜控制在</w:t>
      </w:r>
      <w:r>
        <w:rPr>
          <w:rFonts w:ascii="Times New Roman"/>
          <w:kern w:val="2"/>
          <w:szCs w:val="22"/>
        </w:rPr>
        <w:t>25%~75%</w:t>
      </w:r>
      <w:r>
        <w:rPr>
          <w:rFonts w:ascii="Times New Roman"/>
          <w:kern w:val="2"/>
          <w:szCs w:val="22"/>
        </w:rPr>
        <w:t>。</w:t>
      </w:r>
    </w:p>
    <w:p w14:paraId="261A8B5A" w14:textId="77777777" w:rsidR="0014798F" w:rsidRDefault="00FE0155">
      <w:pPr>
        <w:pStyle w:val="ab"/>
        <w:spacing w:line="276" w:lineRule="auto"/>
        <w:rPr>
          <w:rFonts w:ascii="Times New Roman"/>
          <w:kern w:val="2"/>
          <w:szCs w:val="22"/>
        </w:rPr>
      </w:pPr>
      <w:r>
        <w:rPr>
          <w:rFonts w:ascii="Times New Roman"/>
          <w:kern w:val="2"/>
          <w:szCs w:val="22"/>
        </w:rPr>
        <w:t>b</w:t>
      </w:r>
      <w:r>
        <w:rPr>
          <w:rFonts w:ascii="Times New Roman" w:hint="eastAsia"/>
          <w:kern w:val="2"/>
          <w:szCs w:val="22"/>
        </w:rPr>
        <w:t>）</w:t>
      </w:r>
      <w:r>
        <w:rPr>
          <w:rFonts w:ascii="Times New Roman"/>
          <w:kern w:val="2"/>
          <w:szCs w:val="22"/>
        </w:rPr>
        <w:t>含油污泥中的溶解氧浓度应根据试验确定，可通过翻耕通风、添加产氧剂等方法实现。</w:t>
      </w:r>
    </w:p>
    <w:p w14:paraId="261A8B5B" w14:textId="77777777" w:rsidR="0014798F" w:rsidRDefault="00FE0155">
      <w:pPr>
        <w:pStyle w:val="ab"/>
        <w:spacing w:line="276" w:lineRule="auto"/>
        <w:rPr>
          <w:rFonts w:ascii="Times New Roman"/>
          <w:kern w:val="2"/>
          <w:szCs w:val="22"/>
        </w:rPr>
      </w:pPr>
      <w:r>
        <w:rPr>
          <w:rFonts w:ascii="Times New Roman"/>
          <w:kern w:val="2"/>
          <w:szCs w:val="22"/>
        </w:rPr>
        <w:t>c</w:t>
      </w:r>
      <w:r>
        <w:rPr>
          <w:rFonts w:ascii="Times New Roman" w:hint="eastAsia"/>
          <w:kern w:val="2"/>
          <w:szCs w:val="22"/>
        </w:rPr>
        <w:t>）</w:t>
      </w:r>
      <w:r>
        <w:rPr>
          <w:rFonts w:ascii="Times New Roman"/>
          <w:kern w:val="2"/>
          <w:szCs w:val="22"/>
        </w:rPr>
        <w:t>采用原位生物修复工艺时，应采取隔离和控制污染物扩散的措施</w:t>
      </w:r>
      <w:r>
        <w:rPr>
          <w:rFonts w:ascii="Times New Roman"/>
          <w:kern w:val="2"/>
          <w:szCs w:val="22"/>
        </w:rPr>
        <w:t>:</w:t>
      </w:r>
      <w:r>
        <w:rPr>
          <w:rFonts w:ascii="Times New Roman"/>
          <w:kern w:val="2"/>
          <w:szCs w:val="22"/>
        </w:rPr>
        <w:t>采用预制床生物修复工艺时应设置防渗层，防渗层上应设置渗滤层及渗滤液收集系统。</w:t>
      </w:r>
    </w:p>
    <w:p w14:paraId="261A8B5C"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6.2.2 </w:t>
      </w:r>
      <w:r>
        <w:rPr>
          <w:rFonts w:ascii="Times New Roman" w:hint="eastAsia"/>
          <w:kern w:val="2"/>
          <w:szCs w:val="22"/>
        </w:rPr>
        <w:t>处置技术要求</w:t>
      </w:r>
    </w:p>
    <w:p w14:paraId="261A8B5D"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6.2.2.1 </w:t>
      </w:r>
      <w:r>
        <w:rPr>
          <w:rFonts w:ascii="Times New Roman" w:hint="eastAsia"/>
          <w:kern w:val="2"/>
          <w:szCs w:val="22"/>
        </w:rPr>
        <w:t>含油污泥的焚烧应符合</w:t>
      </w:r>
      <w:r>
        <w:rPr>
          <w:rFonts w:ascii="Times New Roman" w:hint="eastAsia"/>
          <w:kern w:val="2"/>
          <w:szCs w:val="22"/>
        </w:rPr>
        <w:t xml:space="preserve"> GB18484 </w:t>
      </w:r>
      <w:r>
        <w:rPr>
          <w:rFonts w:ascii="Times New Roman" w:hint="eastAsia"/>
          <w:kern w:val="2"/>
          <w:szCs w:val="22"/>
        </w:rPr>
        <w:t>中有关规定，鼓励进行热能综合利用。</w:t>
      </w:r>
    </w:p>
    <w:p w14:paraId="261A8B5E"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6.2.2.2 </w:t>
      </w:r>
      <w:r>
        <w:rPr>
          <w:rFonts w:ascii="Times New Roman" w:hint="eastAsia"/>
          <w:kern w:val="2"/>
          <w:szCs w:val="22"/>
        </w:rPr>
        <w:t>含油污泥焚烧工程应符合</w:t>
      </w:r>
      <w:r>
        <w:rPr>
          <w:rFonts w:ascii="Times New Roman" w:hint="eastAsia"/>
          <w:kern w:val="2"/>
          <w:szCs w:val="22"/>
        </w:rPr>
        <w:t xml:space="preserve"> HJ/T176 </w:t>
      </w:r>
      <w:r>
        <w:rPr>
          <w:rFonts w:ascii="Times New Roman" w:hint="eastAsia"/>
          <w:kern w:val="2"/>
          <w:szCs w:val="22"/>
        </w:rPr>
        <w:t>中有关规定。</w:t>
      </w:r>
    </w:p>
    <w:p w14:paraId="261A8B5F"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6.2.2.3 </w:t>
      </w:r>
      <w:r>
        <w:rPr>
          <w:rFonts w:ascii="Times New Roman" w:hint="eastAsia"/>
          <w:kern w:val="2"/>
          <w:szCs w:val="22"/>
        </w:rPr>
        <w:t>含油污泥的填埋应符合</w:t>
      </w:r>
      <w:r>
        <w:rPr>
          <w:rFonts w:ascii="Times New Roman" w:hint="eastAsia"/>
          <w:kern w:val="2"/>
          <w:szCs w:val="22"/>
        </w:rPr>
        <w:t xml:space="preserve"> GB18598 </w:t>
      </w:r>
      <w:r>
        <w:rPr>
          <w:rFonts w:ascii="Times New Roman" w:hint="eastAsia"/>
          <w:kern w:val="2"/>
          <w:szCs w:val="22"/>
        </w:rPr>
        <w:t>中有关规定。</w:t>
      </w:r>
    </w:p>
    <w:p w14:paraId="261A8B60"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6.2.3 </w:t>
      </w:r>
      <w:r>
        <w:rPr>
          <w:rFonts w:ascii="Times New Roman" w:hint="eastAsia"/>
          <w:kern w:val="2"/>
          <w:szCs w:val="22"/>
        </w:rPr>
        <w:t>环境监测</w:t>
      </w:r>
    </w:p>
    <w:p w14:paraId="261A8B61"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6.2.3.1 </w:t>
      </w:r>
      <w:r>
        <w:rPr>
          <w:rFonts w:ascii="Times New Roman" w:hint="eastAsia"/>
          <w:kern w:val="2"/>
          <w:szCs w:val="22"/>
        </w:rPr>
        <w:t>含油污泥的采集、制样与保存应按照</w:t>
      </w:r>
      <w:r>
        <w:rPr>
          <w:rFonts w:ascii="Times New Roman" w:hint="eastAsia"/>
          <w:kern w:val="2"/>
          <w:szCs w:val="22"/>
        </w:rPr>
        <w:t xml:space="preserve"> HJ/T20 </w:t>
      </w:r>
      <w:r>
        <w:rPr>
          <w:rFonts w:ascii="Times New Roman" w:hint="eastAsia"/>
          <w:kern w:val="2"/>
          <w:szCs w:val="22"/>
        </w:rPr>
        <w:t>规定要求进行。</w:t>
      </w:r>
    </w:p>
    <w:p w14:paraId="261A8B62"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6.2.3.2 </w:t>
      </w:r>
      <w:r>
        <w:rPr>
          <w:rFonts w:ascii="Times New Roman" w:hint="eastAsia"/>
          <w:kern w:val="2"/>
          <w:szCs w:val="22"/>
        </w:rPr>
        <w:t>含油污泥处理与处置过程不得对土壤、水体造成二次污染，对周边土壤和水体的取样和监测应符合</w:t>
      </w:r>
      <w:r>
        <w:rPr>
          <w:rFonts w:ascii="Times New Roman" w:hint="eastAsia"/>
          <w:kern w:val="2"/>
          <w:szCs w:val="22"/>
        </w:rPr>
        <w:t xml:space="preserve"> HJ/T166</w:t>
      </w:r>
      <w:r>
        <w:rPr>
          <w:rFonts w:ascii="Times New Roman" w:hint="eastAsia"/>
          <w:kern w:val="2"/>
          <w:szCs w:val="22"/>
        </w:rPr>
        <w:t>和</w:t>
      </w:r>
      <w:r>
        <w:rPr>
          <w:rFonts w:ascii="Times New Roman" w:hint="eastAsia"/>
          <w:kern w:val="2"/>
          <w:szCs w:val="22"/>
        </w:rPr>
        <w:t xml:space="preserve"> HJ/T164</w:t>
      </w:r>
      <w:r>
        <w:rPr>
          <w:rFonts w:ascii="Times New Roman" w:hint="eastAsia"/>
          <w:kern w:val="2"/>
          <w:szCs w:val="22"/>
        </w:rPr>
        <w:t>、</w:t>
      </w:r>
      <w:r>
        <w:rPr>
          <w:rFonts w:ascii="Times New Roman" w:hint="eastAsia"/>
          <w:kern w:val="2"/>
          <w:szCs w:val="22"/>
        </w:rPr>
        <w:t>HJ/T91</w:t>
      </w:r>
      <w:r>
        <w:rPr>
          <w:rFonts w:ascii="Times New Roman" w:hint="eastAsia"/>
          <w:kern w:val="2"/>
          <w:szCs w:val="22"/>
        </w:rPr>
        <w:t>的要求。</w:t>
      </w:r>
    </w:p>
    <w:p w14:paraId="261A8B63"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6.2.3.3 </w:t>
      </w:r>
      <w:r>
        <w:rPr>
          <w:rFonts w:ascii="Times New Roman" w:hint="eastAsia"/>
          <w:kern w:val="2"/>
          <w:szCs w:val="22"/>
        </w:rPr>
        <w:t>含油污泥贮存和处理、处置场所的大气污染物监测布点、取样和监测应符合</w:t>
      </w:r>
      <w:r>
        <w:rPr>
          <w:rFonts w:ascii="Times New Roman" w:hint="eastAsia"/>
          <w:kern w:val="2"/>
          <w:szCs w:val="22"/>
        </w:rPr>
        <w:t xml:space="preserve"> HT/T55</w:t>
      </w:r>
      <w:r>
        <w:rPr>
          <w:rFonts w:ascii="Times New Roman" w:hint="eastAsia"/>
          <w:kern w:val="2"/>
          <w:szCs w:val="22"/>
        </w:rPr>
        <w:t>、</w:t>
      </w:r>
      <w:r>
        <w:rPr>
          <w:rFonts w:ascii="Times New Roman" w:hint="eastAsia"/>
          <w:kern w:val="2"/>
          <w:szCs w:val="22"/>
        </w:rPr>
        <w:t>HT/T 397</w:t>
      </w:r>
      <w:r>
        <w:rPr>
          <w:rFonts w:ascii="Times New Roman" w:hint="eastAsia"/>
          <w:kern w:val="2"/>
          <w:szCs w:val="22"/>
        </w:rPr>
        <w:t>的要求。</w:t>
      </w:r>
    </w:p>
    <w:p w14:paraId="261A8B64" w14:textId="77777777" w:rsidR="0014798F" w:rsidRDefault="00FE0155">
      <w:pPr>
        <w:pStyle w:val="ab"/>
        <w:spacing w:beforeLines="50" w:before="156" w:afterLines="50" w:after="156" w:line="276" w:lineRule="auto"/>
        <w:ind w:firstLineChars="0" w:firstLine="0"/>
        <w:outlineLvl w:val="1"/>
        <w:rPr>
          <w:rFonts w:ascii="Times New Roman" w:eastAsia="黑体"/>
          <w:szCs w:val="22"/>
        </w:rPr>
      </w:pPr>
      <w:bookmarkStart w:id="154" w:name="_Toc177687489"/>
      <w:bookmarkStart w:id="155" w:name="_Toc6165"/>
      <w:r>
        <w:rPr>
          <w:rFonts w:ascii="Times New Roman" w:eastAsia="黑体"/>
          <w:szCs w:val="22"/>
        </w:rPr>
        <w:t xml:space="preserve">6.3 </w:t>
      </w:r>
      <w:r>
        <w:rPr>
          <w:rFonts w:ascii="Times New Roman" w:eastAsia="黑体" w:hint="eastAsia"/>
          <w:szCs w:val="22"/>
        </w:rPr>
        <w:t>其他</w:t>
      </w:r>
      <w:r>
        <w:rPr>
          <w:rFonts w:ascii="Times New Roman" w:eastAsia="黑体"/>
          <w:szCs w:val="22"/>
        </w:rPr>
        <w:t>固体废弃物控制</w:t>
      </w:r>
      <w:r>
        <w:rPr>
          <w:rFonts w:ascii="Times New Roman" w:eastAsia="黑体" w:hint="eastAsia"/>
          <w:szCs w:val="22"/>
        </w:rPr>
        <w:t>处理</w:t>
      </w:r>
      <w:r>
        <w:rPr>
          <w:rFonts w:ascii="Times New Roman" w:eastAsia="黑体"/>
          <w:szCs w:val="22"/>
        </w:rPr>
        <w:t>技术</w:t>
      </w:r>
      <w:bookmarkEnd w:id="154"/>
      <w:bookmarkEnd w:id="155"/>
    </w:p>
    <w:p w14:paraId="261A8B65" w14:textId="77777777" w:rsidR="0014798F" w:rsidRDefault="00FE0155">
      <w:pPr>
        <w:pStyle w:val="ab"/>
        <w:spacing w:beforeLines="50" w:before="156" w:afterLines="50" w:after="156"/>
        <w:ind w:firstLineChars="0" w:firstLine="0"/>
        <w:rPr>
          <w:rFonts w:ascii="Times New Roman"/>
          <w:kern w:val="2"/>
          <w:szCs w:val="22"/>
        </w:rPr>
      </w:pPr>
      <w:r>
        <w:rPr>
          <w:rFonts w:ascii="Times New Roman" w:hint="eastAsia"/>
          <w:kern w:val="2"/>
          <w:szCs w:val="22"/>
        </w:rPr>
        <w:lastRenderedPageBreak/>
        <w:t xml:space="preserve">6.3.1 </w:t>
      </w:r>
      <w:r>
        <w:rPr>
          <w:rFonts w:ascii="Times New Roman" w:hint="eastAsia"/>
          <w:kern w:val="2"/>
          <w:szCs w:val="22"/>
        </w:rPr>
        <w:t>化学热洗</w:t>
      </w:r>
    </w:p>
    <w:p w14:paraId="261A8B66"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6.3.1.1 </w:t>
      </w:r>
      <w:r>
        <w:rPr>
          <w:rFonts w:ascii="Times New Roman" w:hint="eastAsia"/>
          <w:kern w:val="2"/>
          <w:szCs w:val="22"/>
        </w:rPr>
        <w:t>应包括流化预处理、水洗处理、离心分离处理等。</w:t>
      </w:r>
    </w:p>
    <w:p w14:paraId="261A8B67"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6.3.1.2 </w:t>
      </w:r>
      <w:r>
        <w:rPr>
          <w:rFonts w:ascii="Times New Roman" w:hint="eastAsia"/>
          <w:kern w:val="2"/>
          <w:szCs w:val="22"/>
        </w:rPr>
        <w:t>流化预处理温度宜控制在</w:t>
      </w:r>
      <w:r>
        <w:rPr>
          <w:rFonts w:ascii="Times New Roman" w:hint="eastAsia"/>
          <w:kern w:val="2"/>
          <w:szCs w:val="22"/>
        </w:rPr>
        <w:t xml:space="preserve"> 45 </w:t>
      </w:r>
      <w:r>
        <w:rPr>
          <w:rFonts w:ascii="Times New Roman" w:hint="eastAsia"/>
          <w:kern w:val="2"/>
          <w:szCs w:val="22"/>
        </w:rPr>
        <w:t>℃</w:t>
      </w:r>
      <w:r>
        <w:rPr>
          <w:rFonts w:ascii="Times New Roman" w:hint="eastAsia"/>
          <w:kern w:val="2"/>
          <w:szCs w:val="22"/>
        </w:rPr>
        <w:t xml:space="preserve"> </w:t>
      </w:r>
      <w:r>
        <w:rPr>
          <w:rFonts w:ascii="Times New Roman" w:hint="eastAsia"/>
          <w:kern w:val="2"/>
          <w:szCs w:val="22"/>
        </w:rPr>
        <w:t>以上。流化预处理后废弃钻井泥浆和岩屑中固体颗粒粒径宜小于</w:t>
      </w:r>
      <w:r>
        <w:rPr>
          <w:rFonts w:ascii="Times New Roman" w:hint="eastAsia"/>
          <w:kern w:val="2"/>
          <w:szCs w:val="22"/>
        </w:rPr>
        <w:t xml:space="preserve"> 5 mm</w:t>
      </w:r>
      <w:r>
        <w:rPr>
          <w:rFonts w:ascii="Times New Roman" w:hint="eastAsia"/>
          <w:kern w:val="2"/>
          <w:szCs w:val="22"/>
        </w:rPr>
        <w:t>。分离装置应有防止油、水、泥落地的设计。</w:t>
      </w:r>
    </w:p>
    <w:p w14:paraId="261A8B68"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6.3.1.3 </w:t>
      </w:r>
      <w:r>
        <w:rPr>
          <w:rFonts w:ascii="Times New Roman" w:hint="eastAsia"/>
          <w:kern w:val="2"/>
          <w:szCs w:val="22"/>
        </w:rPr>
        <w:t>宜采用搅拌匀化、加热、投加化学药剂等工艺措施，清洗温度、化学药剂的选择</w:t>
      </w:r>
    </w:p>
    <w:p w14:paraId="261A8B69"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应根据污泥物性、脱油效率等现场试验情况确定。</w:t>
      </w:r>
    </w:p>
    <w:p w14:paraId="261A8B6A"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6.3.1.4 </w:t>
      </w:r>
      <w:r>
        <w:rPr>
          <w:rFonts w:ascii="Times New Roman" w:hint="eastAsia"/>
          <w:kern w:val="2"/>
          <w:szCs w:val="22"/>
        </w:rPr>
        <w:t>处理后宜静置或离心，并回收油品。</w:t>
      </w:r>
    </w:p>
    <w:p w14:paraId="261A8B6B" w14:textId="77777777" w:rsidR="0014798F" w:rsidRDefault="00FE0155">
      <w:pPr>
        <w:pStyle w:val="ab"/>
        <w:spacing w:beforeLines="50" w:before="156" w:afterLines="50" w:after="156"/>
        <w:ind w:firstLineChars="0" w:firstLine="0"/>
        <w:rPr>
          <w:rFonts w:ascii="Times New Roman"/>
          <w:kern w:val="2"/>
          <w:szCs w:val="22"/>
        </w:rPr>
      </w:pPr>
      <w:r>
        <w:rPr>
          <w:rFonts w:ascii="Times New Roman" w:hint="eastAsia"/>
          <w:kern w:val="2"/>
          <w:szCs w:val="22"/>
        </w:rPr>
        <w:t xml:space="preserve">6.3.2 </w:t>
      </w:r>
      <w:r>
        <w:rPr>
          <w:rFonts w:ascii="Times New Roman" w:hint="eastAsia"/>
          <w:kern w:val="2"/>
          <w:szCs w:val="22"/>
        </w:rPr>
        <w:t>热解</w:t>
      </w:r>
    </w:p>
    <w:p w14:paraId="261A8B6C"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6.3.2.1 </w:t>
      </w:r>
      <w:r>
        <w:rPr>
          <w:rFonts w:ascii="Times New Roman" w:hint="eastAsia"/>
          <w:kern w:val="2"/>
          <w:szCs w:val="22"/>
        </w:rPr>
        <w:t>设备进口物料含水率宜低于</w:t>
      </w:r>
      <w:r>
        <w:rPr>
          <w:rFonts w:ascii="Times New Roman" w:hint="eastAsia"/>
          <w:kern w:val="2"/>
          <w:szCs w:val="22"/>
        </w:rPr>
        <w:t xml:space="preserve"> 30%</w:t>
      </w:r>
      <w:r>
        <w:rPr>
          <w:rFonts w:ascii="Times New Roman" w:hint="eastAsia"/>
          <w:kern w:val="2"/>
          <w:szCs w:val="22"/>
        </w:rPr>
        <w:t>。</w:t>
      </w:r>
    </w:p>
    <w:p w14:paraId="261A8B6D"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6.3.2.2 </w:t>
      </w:r>
      <w:r>
        <w:rPr>
          <w:rFonts w:ascii="Times New Roman" w:hint="eastAsia"/>
          <w:kern w:val="2"/>
          <w:szCs w:val="22"/>
        </w:rPr>
        <w:t>热解终温、停留时间、氮气进量等参数应根据物料中含固量、固体颗粒粒径、含油量、含水率等参数确定。</w:t>
      </w:r>
    </w:p>
    <w:p w14:paraId="261A8B6E"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6.3.2.3 </w:t>
      </w:r>
      <w:r>
        <w:rPr>
          <w:rFonts w:ascii="Times New Roman" w:hint="eastAsia"/>
          <w:kern w:val="2"/>
          <w:szCs w:val="22"/>
        </w:rPr>
        <w:t>热解产生的气体须进行油品回收，不凝气优先作为热解燃料，不能回收利用的应焚烧处理达标后排放，热解炉加热烟气、焚烧炉烟气应采取急冷处理，烟气温度</w:t>
      </w:r>
      <w:r>
        <w:rPr>
          <w:rFonts w:ascii="Times New Roman" w:hint="eastAsia"/>
          <w:kern w:val="2"/>
          <w:szCs w:val="22"/>
        </w:rPr>
        <w:t xml:space="preserve"> 1s </w:t>
      </w:r>
      <w:r>
        <w:rPr>
          <w:rFonts w:ascii="Times New Roman" w:hint="eastAsia"/>
          <w:kern w:val="2"/>
          <w:szCs w:val="22"/>
        </w:rPr>
        <w:t>内降到</w:t>
      </w:r>
      <w:r>
        <w:rPr>
          <w:rFonts w:ascii="Times New Roman" w:hint="eastAsia"/>
          <w:kern w:val="2"/>
          <w:szCs w:val="22"/>
        </w:rPr>
        <w:t xml:space="preserve"> 200</w:t>
      </w:r>
      <w:r>
        <w:rPr>
          <w:rFonts w:ascii="Times New Roman" w:hint="eastAsia"/>
          <w:kern w:val="2"/>
          <w:szCs w:val="22"/>
        </w:rPr>
        <w:t>℃</w:t>
      </w:r>
      <w:r>
        <w:rPr>
          <w:rFonts w:ascii="Times New Roman" w:hint="eastAsia"/>
          <w:kern w:val="2"/>
          <w:szCs w:val="22"/>
        </w:rPr>
        <w:t xml:space="preserve"> </w:t>
      </w:r>
      <w:r>
        <w:rPr>
          <w:rFonts w:ascii="Times New Roman" w:hint="eastAsia"/>
          <w:kern w:val="2"/>
          <w:szCs w:val="22"/>
        </w:rPr>
        <w:t>以下，减少烟气在</w:t>
      </w:r>
      <w:r>
        <w:rPr>
          <w:rFonts w:ascii="Times New Roman" w:hint="eastAsia"/>
          <w:kern w:val="2"/>
          <w:szCs w:val="22"/>
        </w:rPr>
        <w:t xml:space="preserve"> 200</w:t>
      </w:r>
      <w:r>
        <w:rPr>
          <w:rFonts w:ascii="Times New Roman" w:hint="eastAsia"/>
          <w:kern w:val="2"/>
          <w:szCs w:val="22"/>
        </w:rPr>
        <w:t>℃～</w:t>
      </w:r>
      <w:r>
        <w:rPr>
          <w:rFonts w:ascii="Times New Roman" w:hint="eastAsia"/>
          <w:kern w:val="2"/>
          <w:szCs w:val="22"/>
        </w:rPr>
        <w:t>500</w:t>
      </w:r>
      <w:r>
        <w:rPr>
          <w:rFonts w:ascii="Times New Roman" w:hint="eastAsia"/>
          <w:kern w:val="2"/>
          <w:szCs w:val="22"/>
        </w:rPr>
        <w:t>℃</w:t>
      </w:r>
      <w:r>
        <w:rPr>
          <w:rFonts w:ascii="Times New Roman" w:hint="eastAsia"/>
          <w:kern w:val="2"/>
          <w:szCs w:val="22"/>
        </w:rPr>
        <w:t xml:space="preserve"> </w:t>
      </w:r>
      <w:r>
        <w:rPr>
          <w:rFonts w:ascii="Times New Roman" w:hint="eastAsia"/>
          <w:kern w:val="2"/>
          <w:szCs w:val="22"/>
        </w:rPr>
        <w:t>温区的滞留时间。</w:t>
      </w:r>
    </w:p>
    <w:p w14:paraId="261A8B6F"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6.3.2.4 </w:t>
      </w:r>
      <w:r>
        <w:rPr>
          <w:rFonts w:ascii="Times New Roman" w:hint="eastAsia"/>
          <w:kern w:val="2"/>
          <w:szCs w:val="22"/>
        </w:rPr>
        <w:t>排渣系统应与炉体密闭连接防止飞灰逸出。</w:t>
      </w:r>
    </w:p>
    <w:p w14:paraId="261A8B70" w14:textId="77777777" w:rsidR="0014798F" w:rsidRDefault="00FE0155">
      <w:pPr>
        <w:pStyle w:val="ab"/>
        <w:spacing w:beforeLines="50" w:before="156" w:afterLines="50" w:after="156"/>
        <w:ind w:firstLineChars="0" w:firstLine="0"/>
        <w:rPr>
          <w:rFonts w:ascii="Times New Roman"/>
          <w:kern w:val="2"/>
          <w:szCs w:val="22"/>
        </w:rPr>
      </w:pPr>
      <w:r>
        <w:rPr>
          <w:rFonts w:ascii="Times New Roman" w:hint="eastAsia"/>
          <w:kern w:val="2"/>
          <w:szCs w:val="22"/>
        </w:rPr>
        <w:t xml:space="preserve">6.3.3 </w:t>
      </w:r>
      <w:r>
        <w:rPr>
          <w:rFonts w:ascii="Times New Roman" w:hint="eastAsia"/>
          <w:kern w:val="2"/>
          <w:szCs w:val="22"/>
        </w:rPr>
        <w:t>高温热氧化</w:t>
      </w:r>
    </w:p>
    <w:p w14:paraId="261A8B71"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6.3.3.1 </w:t>
      </w:r>
      <w:r>
        <w:rPr>
          <w:rFonts w:ascii="Times New Roman" w:hint="eastAsia"/>
          <w:kern w:val="2"/>
          <w:szCs w:val="22"/>
        </w:rPr>
        <w:t>废弃钻井泥浆的热氧化应包括预处理、热氧化、尾气净化、固体处理等。</w:t>
      </w:r>
    </w:p>
    <w:p w14:paraId="261A8B72"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6.3.3.2 </w:t>
      </w:r>
      <w:r>
        <w:rPr>
          <w:rFonts w:ascii="Times New Roman" w:hint="eastAsia"/>
          <w:kern w:val="2"/>
          <w:szCs w:val="22"/>
        </w:rPr>
        <w:t>废弃钻井泥浆的含水率大于</w:t>
      </w:r>
      <w:r>
        <w:rPr>
          <w:rFonts w:ascii="Times New Roman" w:hint="eastAsia"/>
          <w:kern w:val="2"/>
          <w:szCs w:val="22"/>
        </w:rPr>
        <w:t xml:space="preserve"> 80%</w:t>
      </w:r>
      <w:r>
        <w:rPr>
          <w:rFonts w:ascii="Times New Roman" w:hint="eastAsia"/>
          <w:kern w:val="2"/>
          <w:szCs w:val="22"/>
        </w:rPr>
        <w:t>时，高温热氧化前应进行脱水处理。</w:t>
      </w:r>
    </w:p>
    <w:p w14:paraId="261A8B73"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6.3.3.3 </w:t>
      </w:r>
      <w:r>
        <w:rPr>
          <w:rFonts w:ascii="Times New Roman" w:hint="eastAsia"/>
          <w:kern w:val="2"/>
          <w:szCs w:val="22"/>
        </w:rPr>
        <w:t>高温热氧化工程设计应符合</w:t>
      </w:r>
      <w:r>
        <w:rPr>
          <w:rFonts w:ascii="Times New Roman" w:hint="eastAsia"/>
          <w:kern w:val="2"/>
          <w:szCs w:val="22"/>
        </w:rPr>
        <w:t xml:space="preserve"> SY/T 6851 </w:t>
      </w:r>
      <w:r>
        <w:rPr>
          <w:rFonts w:ascii="Times New Roman" w:hint="eastAsia"/>
          <w:kern w:val="2"/>
          <w:szCs w:val="22"/>
        </w:rPr>
        <w:t>的相关规定。</w:t>
      </w:r>
    </w:p>
    <w:p w14:paraId="261A8B74"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6.3.3.4 </w:t>
      </w:r>
      <w:r>
        <w:rPr>
          <w:rFonts w:ascii="Times New Roman" w:hint="eastAsia"/>
          <w:kern w:val="2"/>
          <w:szCs w:val="22"/>
        </w:rPr>
        <w:t>高温热氧化产生的废气经二燃室、换热及脱硫、除尘等处理后，应符合</w:t>
      </w:r>
      <w:r>
        <w:rPr>
          <w:rFonts w:ascii="Times New Roman" w:hint="eastAsia"/>
          <w:kern w:val="2"/>
          <w:szCs w:val="22"/>
        </w:rPr>
        <w:t xml:space="preserve"> GB 31571</w:t>
      </w:r>
      <w:r>
        <w:rPr>
          <w:rFonts w:ascii="Times New Roman" w:hint="eastAsia"/>
          <w:kern w:val="2"/>
          <w:szCs w:val="22"/>
        </w:rPr>
        <w:t>的排放要求。废热可用于废弃钻井泥浆的处理过程。</w:t>
      </w:r>
    </w:p>
    <w:p w14:paraId="261A8B75"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6.3.3.5 </w:t>
      </w:r>
      <w:r>
        <w:rPr>
          <w:rFonts w:ascii="Times New Roman" w:hint="eastAsia"/>
          <w:kern w:val="2"/>
          <w:szCs w:val="22"/>
        </w:rPr>
        <w:t>排渣系统应与炉体密闭连接防止飞灰逸出，残渣堆场应有防尘措施。</w:t>
      </w:r>
    </w:p>
    <w:p w14:paraId="261A8B76" w14:textId="77777777" w:rsidR="0014798F" w:rsidRDefault="00FE0155">
      <w:pPr>
        <w:pStyle w:val="ab"/>
        <w:spacing w:beforeLines="50" w:before="156" w:afterLines="50" w:after="156"/>
        <w:ind w:firstLineChars="0" w:firstLine="0"/>
        <w:rPr>
          <w:rFonts w:ascii="Times New Roman"/>
          <w:kern w:val="2"/>
          <w:szCs w:val="22"/>
        </w:rPr>
      </w:pPr>
      <w:r>
        <w:rPr>
          <w:rFonts w:ascii="Times New Roman" w:hint="eastAsia"/>
          <w:kern w:val="2"/>
          <w:szCs w:val="22"/>
        </w:rPr>
        <w:t xml:space="preserve">6.3.4 </w:t>
      </w:r>
      <w:r>
        <w:rPr>
          <w:rFonts w:ascii="Times New Roman" w:hint="eastAsia"/>
          <w:kern w:val="2"/>
          <w:szCs w:val="22"/>
        </w:rPr>
        <w:t>微生物处理</w:t>
      </w:r>
    </w:p>
    <w:p w14:paraId="261A8B77" w14:textId="77777777" w:rsidR="0014798F" w:rsidRDefault="00FE0155">
      <w:pPr>
        <w:pStyle w:val="ab"/>
        <w:spacing w:line="276" w:lineRule="auto"/>
        <w:rPr>
          <w:rFonts w:ascii="Times New Roman"/>
          <w:kern w:val="2"/>
          <w:szCs w:val="22"/>
        </w:rPr>
      </w:pPr>
      <w:r>
        <w:rPr>
          <w:rFonts w:ascii="Times New Roman" w:hint="eastAsia"/>
          <w:kern w:val="2"/>
          <w:szCs w:val="22"/>
        </w:rPr>
        <w:t>钻井废物含油率小于</w:t>
      </w:r>
      <w:r>
        <w:rPr>
          <w:rFonts w:ascii="Times New Roman" w:hint="eastAsia"/>
          <w:kern w:val="2"/>
          <w:szCs w:val="22"/>
        </w:rPr>
        <w:t xml:space="preserve"> 5% </w:t>
      </w:r>
      <w:r>
        <w:rPr>
          <w:rFonts w:ascii="Times New Roman" w:hint="eastAsia"/>
          <w:kern w:val="2"/>
          <w:szCs w:val="22"/>
        </w:rPr>
        <w:t>时可直接利用微生物处理技术进行处理，同时应符合</w:t>
      </w:r>
      <w:r>
        <w:rPr>
          <w:rFonts w:ascii="Times New Roman" w:hint="eastAsia"/>
          <w:kern w:val="2"/>
          <w:szCs w:val="22"/>
        </w:rPr>
        <w:t xml:space="preserve"> DB 61/T 1361 </w:t>
      </w:r>
      <w:r>
        <w:rPr>
          <w:rFonts w:ascii="Times New Roman" w:hint="eastAsia"/>
          <w:kern w:val="2"/>
          <w:szCs w:val="22"/>
        </w:rPr>
        <w:t>的相关规定。</w:t>
      </w:r>
    </w:p>
    <w:p w14:paraId="261A8B78" w14:textId="77777777" w:rsidR="0014798F" w:rsidRDefault="00FE0155">
      <w:pPr>
        <w:pStyle w:val="ab"/>
        <w:spacing w:beforeLines="50" w:before="156" w:afterLines="50" w:after="156"/>
        <w:ind w:firstLineChars="0" w:firstLine="0"/>
        <w:rPr>
          <w:rFonts w:ascii="Times New Roman"/>
          <w:kern w:val="2"/>
          <w:szCs w:val="22"/>
        </w:rPr>
      </w:pPr>
      <w:r>
        <w:rPr>
          <w:rFonts w:ascii="Times New Roman" w:hint="eastAsia"/>
          <w:kern w:val="2"/>
          <w:szCs w:val="22"/>
        </w:rPr>
        <w:t xml:space="preserve">6.3.5 </w:t>
      </w:r>
      <w:r>
        <w:rPr>
          <w:rFonts w:ascii="Times New Roman" w:hint="eastAsia"/>
          <w:kern w:val="2"/>
          <w:szCs w:val="22"/>
        </w:rPr>
        <w:t>水泥窑协同处置</w:t>
      </w:r>
    </w:p>
    <w:p w14:paraId="261A8B79" w14:textId="77777777" w:rsidR="0014798F" w:rsidRDefault="00FE0155">
      <w:pPr>
        <w:pStyle w:val="ab"/>
        <w:spacing w:line="276" w:lineRule="auto"/>
        <w:rPr>
          <w:rFonts w:ascii="Times New Roman"/>
          <w:kern w:val="2"/>
          <w:szCs w:val="22"/>
        </w:rPr>
      </w:pPr>
      <w:r>
        <w:rPr>
          <w:rFonts w:ascii="Times New Roman" w:hint="eastAsia"/>
          <w:kern w:val="2"/>
          <w:szCs w:val="22"/>
        </w:rPr>
        <w:t>协同处置的水泥窑应是新型干法预分解窑，且入窑物料含水率、投加比例、技术装备以及重金属最大允许投加量等要求，应满足</w:t>
      </w:r>
      <w:r>
        <w:rPr>
          <w:rFonts w:ascii="Times New Roman" w:hint="eastAsia"/>
          <w:kern w:val="2"/>
          <w:szCs w:val="22"/>
        </w:rPr>
        <w:t>GB 30760</w:t>
      </w:r>
      <w:r>
        <w:rPr>
          <w:rFonts w:ascii="Times New Roman" w:hint="eastAsia"/>
          <w:kern w:val="2"/>
          <w:szCs w:val="22"/>
        </w:rPr>
        <w:t>、</w:t>
      </w:r>
      <w:r>
        <w:rPr>
          <w:rFonts w:ascii="Times New Roman" w:hint="eastAsia"/>
          <w:kern w:val="2"/>
          <w:szCs w:val="22"/>
        </w:rPr>
        <w:t>GB 50634</w:t>
      </w:r>
      <w:r>
        <w:rPr>
          <w:rFonts w:ascii="Times New Roman" w:hint="eastAsia"/>
          <w:kern w:val="2"/>
          <w:szCs w:val="22"/>
        </w:rPr>
        <w:t>和</w:t>
      </w:r>
      <w:r>
        <w:rPr>
          <w:rFonts w:ascii="Times New Roman" w:hint="eastAsia"/>
          <w:kern w:val="2"/>
          <w:szCs w:val="22"/>
        </w:rPr>
        <w:t>HJ 662</w:t>
      </w:r>
      <w:r>
        <w:rPr>
          <w:rFonts w:ascii="Times New Roman" w:hint="eastAsia"/>
          <w:kern w:val="2"/>
          <w:szCs w:val="22"/>
        </w:rPr>
        <w:t>的相关规定。</w:t>
      </w:r>
    </w:p>
    <w:p w14:paraId="261A8B7A" w14:textId="77777777" w:rsidR="0014798F" w:rsidRDefault="00FE0155">
      <w:pPr>
        <w:pStyle w:val="ab"/>
        <w:spacing w:beforeLines="50" w:before="156" w:afterLines="50" w:after="156"/>
        <w:ind w:firstLineChars="0" w:firstLine="0"/>
        <w:rPr>
          <w:rFonts w:ascii="Times New Roman"/>
          <w:kern w:val="2"/>
          <w:szCs w:val="22"/>
        </w:rPr>
      </w:pPr>
      <w:r>
        <w:rPr>
          <w:rFonts w:ascii="Times New Roman" w:hint="eastAsia"/>
          <w:kern w:val="2"/>
          <w:szCs w:val="22"/>
        </w:rPr>
        <w:t xml:space="preserve">6.3.6 </w:t>
      </w:r>
      <w:r>
        <w:rPr>
          <w:rFonts w:ascii="Times New Roman" w:hint="eastAsia"/>
          <w:kern w:val="2"/>
          <w:szCs w:val="22"/>
        </w:rPr>
        <w:t>焚烧</w:t>
      </w:r>
    </w:p>
    <w:p w14:paraId="261A8B7B" w14:textId="77777777" w:rsidR="0014798F" w:rsidRDefault="00FE0155">
      <w:pPr>
        <w:pStyle w:val="ab"/>
        <w:spacing w:line="276" w:lineRule="auto"/>
        <w:rPr>
          <w:rFonts w:ascii="Times New Roman"/>
          <w:kern w:val="2"/>
          <w:szCs w:val="22"/>
        </w:rPr>
      </w:pPr>
      <w:r>
        <w:rPr>
          <w:rFonts w:ascii="Times New Roman" w:hint="eastAsia"/>
          <w:kern w:val="2"/>
          <w:szCs w:val="22"/>
        </w:rPr>
        <w:t>应符合</w:t>
      </w:r>
      <w:r>
        <w:rPr>
          <w:rFonts w:ascii="Times New Roman" w:hint="eastAsia"/>
          <w:kern w:val="2"/>
          <w:szCs w:val="22"/>
        </w:rPr>
        <w:t>GB 18484</w:t>
      </w:r>
      <w:r>
        <w:rPr>
          <w:rFonts w:ascii="Times New Roman" w:hint="eastAsia"/>
          <w:kern w:val="2"/>
          <w:szCs w:val="22"/>
        </w:rPr>
        <w:t>和</w:t>
      </w:r>
      <w:r>
        <w:rPr>
          <w:rFonts w:ascii="Times New Roman" w:hint="eastAsia"/>
          <w:kern w:val="2"/>
          <w:szCs w:val="22"/>
        </w:rPr>
        <w:t xml:space="preserve">HJ </w:t>
      </w:r>
      <w:r>
        <w:rPr>
          <w:rFonts w:ascii="Times New Roman" w:hint="eastAsia"/>
          <w:kern w:val="2"/>
          <w:szCs w:val="22"/>
        </w:rPr>
        <w:t>2042</w:t>
      </w:r>
      <w:r>
        <w:rPr>
          <w:rFonts w:ascii="Times New Roman" w:hint="eastAsia"/>
          <w:kern w:val="2"/>
          <w:szCs w:val="22"/>
        </w:rPr>
        <w:t>的规定。</w:t>
      </w:r>
    </w:p>
    <w:p w14:paraId="261A8B7C" w14:textId="77777777" w:rsidR="0014798F" w:rsidRDefault="00FE0155">
      <w:pPr>
        <w:pStyle w:val="ab"/>
        <w:spacing w:beforeLines="50" w:before="156" w:afterLines="50" w:after="156"/>
        <w:ind w:firstLineChars="0" w:firstLine="0"/>
        <w:rPr>
          <w:rFonts w:ascii="Times New Roman"/>
          <w:kern w:val="2"/>
          <w:szCs w:val="22"/>
        </w:rPr>
      </w:pPr>
      <w:r>
        <w:rPr>
          <w:rFonts w:ascii="Times New Roman" w:hint="eastAsia"/>
          <w:kern w:val="2"/>
          <w:szCs w:val="22"/>
        </w:rPr>
        <w:t xml:space="preserve">6.3.7 </w:t>
      </w:r>
      <w:r>
        <w:rPr>
          <w:rFonts w:ascii="Times New Roman" w:hint="eastAsia"/>
          <w:kern w:val="2"/>
          <w:szCs w:val="22"/>
        </w:rPr>
        <w:t>固化处理</w:t>
      </w:r>
    </w:p>
    <w:p w14:paraId="261A8B7D" w14:textId="77777777" w:rsidR="0014798F" w:rsidRDefault="00FE0155">
      <w:pPr>
        <w:pStyle w:val="ab"/>
        <w:spacing w:line="276" w:lineRule="auto"/>
        <w:rPr>
          <w:rFonts w:ascii="Times New Roman"/>
          <w:kern w:val="2"/>
          <w:szCs w:val="22"/>
        </w:rPr>
      </w:pPr>
      <w:r>
        <w:rPr>
          <w:rFonts w:ascii="Times New Roman" w:hint="eastAsia"/>
          <w:kern w:val="2"/>
          <w:szCs w:val="22"/>
        </w:rPr>
        <w:t>固化的性能、抗压强度、污染控制、监测要求应符合</w:t>
      </w:r>
      <w:r>
        <w:rPr>
          <w:rFonts w:ascii="Times New Roman" w:hint="eastAsia"/>
          <w:kern w:val="2"/>
          <w:szCs w:val="22"/>
        </w:rPr>
        <w:t>SY/T 7298</w:t>
      </w:r>
      <w:r>
        <w:rPr>
          <w:rFonts w:ascii="Times New Roman" w:hint="eastAsia"/>
          <w:kern w:val="2"/>
          <w:szCs w:val="22"/>
        </w:rPr>
        <w:t>的规定。</w:t>
      </w:r>
    </w:p>
    <w:p w14:paraId="261A8B7E" w14:textId="77777777" w:rsidR="0014798F" w:rsidRDefault="00FE0155">
      <w:pPr>
        <w:pStyle w:val="ab"/>
        <w:spacing w:beforeLines="50" w:before="156" w:afterLines="50" w:after="156"/>
        <w:ind w:firstLineChars="0" w:firstLine="0"/>
        <w:rPr>
          <w:rFonts w:ascii="Times New Roman"/>
          <w:kern w:val="2"/>
          <w:szCs w:val="22"/>
        </w:rPr>
      </w:pPr>
      <w:r>
        <w:rPr>
          <w:rFonts w:ascii="Times New Roman" w:hint="eastAsia"/>
          <w:kern w:val="2"/>
          <w:szCs w:val="22"/>
        </w:rPr>
        <w:t xml:space="preserve">6.3.8 </w:t>
      </w:r>
      <w:r>
        <w:rPr>
          <w:rFonts w:ascii="Times New Roman" w:hint="eastAsia"/>
          <w:kern w:val="2"/>
          <w:szCs w:val="22"/>
        </w:rPr>
        <w:t>填埋</w:t>
      </w:r>
    </w:p>
    <w:p w14:paraId="261A8B7F" w14:textId="77777777" w:rsidR="0014798F" w:rsidRDefault="00FE0155">
      <w:pPr>
        <w:pStyle w:val="1"/>
        <w:ind w:firstLineChars="200" w:firstLine="420"/>
        <w:rPr>
          <w:lang w:val="en-US"/>
        </w:rPr>
      </w:pPr>
      <w:r>
        <w:rPr>
          <w:rFonts w:hint="eastAsia"/>
          <w:szCs w:val="22"/>
        </w:rPr>
        <w:t>一般工业固体废物的填埋按</w:t>
      </w:r>
      <w:r>
        <w:rPr>
          <w:rFonts w:hint="eastAsia"/>
          <w:szCs w:val="22"/>
        </w:rPr>
        <w:t>GB 18599</w:t>
      </w:r>
      <w:r>
        <w:rPr>
          <w:rFonts w:hint="eastAsia"/>
          <w:szCs w:val="22"/>
        </w:rPr>
        <w:t>相关规定执行，危险废物的填埋按</w:t>
      </w:r>
      <w:r>
        <w:rPr>
          <w:rFonts w:hint="eastAsia"/>
          <w:szCs w:val="22"/>
        </w:rPr>
        <w:t>GB 18598</w:t>
      </w:r>
      <w:r>
        <w:rPr>
          <w:rFonts w:hint="eastAsia"/>
          <w:szCs w:val="22"/>
        </w:rPr>
        <w:t>相关规定</w:t>
      </w:r>
      <w:r>
        <w:rPr>
          <w:rFonts w:hint="eastAsia"/>
          <w:szCs w:val="22"/>
        </w:rPr>
        <w:lastRenderedPageBreak/>
        <w:t>执行</w:t>
      </w:r>
      <w:r>
        <w:t>。</w:t>
      </w:r>
    </w:p>
    <w:p w14:paraId="261A8B80" w14:textId="77777777" w:rsidR="0014798F" w:rsidRDefault="00FE0155">
      <w:pPr>
        <w:pStyle w:val="a"/>
        <w:tabs>
          <w:tab w:val="left" w:pos="9355"/>
        </w:tabs>
        <w:outlineLvl w:val="0"/>
        <w:rPr>
          <w:rFonts w:ascii="Times New Roman"/>
        </w:rPr>
      </w:pPr>
      <w:bookmarkStart w:id="156" w:name="_Toc9660"/>
      <w:bookmarkEnd w:id="148"/>
      <w:bookmarkEnd w:id="149"/>
      <w:r>
        <w:rPr>
          <w:rFonts w:ascii="Times New Roman"/>
        </w:rPr>
        <w:t>石油开采区地下水污染源控制</w:t>
      </w:r>
      <w:r>
        <w:rPr>
          <w:rFonts w:ascii="Times New Roman" w:hint="eastAsia"/>
        </w:rPr>
        <w:t>技术</w:t>
      </w:r>
      <w:bookmarkEnd w:id="156"/>
    </w:p>
    <w:p w14:paraId="261A8B81" w14:textId="77777777" w:rsidR="0014798F" w:rsidRDefault="00FE0155">
      <w:pPr>
        <w:pStyle w:val="ab"/>
        <w:spacing w:beforeLines="50" w:before="156" w:afterLines="50" w:after="156" w:line="276" w:lineRule="auto"/>
        <w:ind w:firstLineChars="0" w:firstLine="0"/>
        <w:outlineLvl w:val="1"/>
        <w:rPr>
          <w:rFonts w:ascii="Times New Roman" w:eastAsia="黑体"/>
          <w:szCs w:val="22"/>
        </w:rPr>
      </w:pPr>
      <w:bookmarkStart w:id="157" w:name="_Toc1983"/>
      <w:bookmarkStart w:id="158" w:name="_Toc177687487"/>
      <w:r>
        <w:rPr>
          <w:rFonts w:ascii="Times New Roman" w:eastAsia="黑体" w:hint="eastAsia"/>
          <w:szCs w:val="22"/>
        </w:rPr>
        <w:t>7</w:t>
      </w:r>
      <w:r>
        <w:rPr>
          <w:rFonts w:ascii="Times New Roman" w:eastAsia="黑体"/>
          <w:szCs w:val="22"/>
        </w:rPr>
        <w:t xml:space="preserve">.1 </w:t>
      </w:r>
      <w:r>
        <w:rPr>
          <w:rFonts w:ascii="Times New Roman" w:eastAsia="黑体"/>
          <w:szCs w:val="22"/>
        </w:rPr>
        <w:t>石油泄漏污染源控制技术</w:t>
      </w:r>
      <w:bookmarkEnd w:id="157"/>
      <w:bookmarkEnd w:id="158"/>
    </w:p>
    <w:p w14:paraId="261A8B82" w14:textId="77777777" w:rsidR="0014798F" w:rsidRDefault="00FE0155">
      <w:pPr>
        <w:pStyle w:val="1"/>
        <w:ind w:firstLineChars="200" w:firstLine="420"/>
        <w:rPr>
          <w:kern w:val="0"/>
        </w:rPr>
      </w:pPr>
      <w:r>
        <w:t>如果在监测井或水源井中监测到石油类或挥发酚含量在短时间内有明显升高的现象、必须立即停止使用距离最近的油田注水井、采油井，并继续进行监测，同时进行漏失情况检查，这时可能出现以下两种情况：一是如果被停用的生产井确实发生含水层位泄漏，应立即对该井进行封井。消除石油类污染源；二是如果被停用的生产井未发生泄漏，说明距离更远的生产井出现了泄漏事故，应逐渐扩大检查范围，确定泄漏源，并予以封井处理</w:t>
      </w:r>
      <w:r>
        <w:rPr>
          <w:kern w:val="0"/>
        </w:rPr>
        <w:t>。</w:t>
      </w:r>
    </w:p>
    <w:p w14:paraId="261A8B83" w14:textId="77777777" w:rsidR="0014798F" w:rsidRDefault="00FE0155">
      <w:pPr>
        <w:pStyle w:val="ab"/>
        <w:spacing w:beforeLines="50" w:before="156" w:afterLines="50" w:after="156"/>
        <w:ind w:firstLineChars="0" w:firstLine="0"/>
        <w:rPr>
          <w:rFonts w:ascii="Times New Roman"/>
          <w:kern w:val="2"/>
          <w:szCs w:val="22"/>
        </w:rPr>
      </w:pPr>
      <w:r>
        <w:rPr>
          <w:rFonts w:ascii="Times New Roman" w:hint="eastAsia"/>
          <w:kern w:val="2"/>
          <w:szCs w:val="22"/>
        </w:rPr>
        <w:t>7</w:t>
      </w:r>
      <w:r>
        <w:rPr>
          <w:rFonts w:ascii="Times New Roman"/>
          <w:kern w:val="2"/>
          <w:szCs w:val="22"/>
        </w:rPr>
        <w:t>.</w:t>
      </w:r>
      <w:r>
        <w:rPr>
          <w:rFonts w:ascii="Times New Roman" w:hint="eastAsia"/>
          <w:kern w:val="2"/>
          <w:szCs w:val="22"/>
        </w:rPr>
        <w:t>1</w:t>
      </w:r>
      <w:r>
        <w:rPr>
          <w:rFonts w:ascii="Times New Roman"/>
          <w:kern w:val="2"/>
          <w:szCs w:val="22"/>
        </w:rPr>
        <w:t>.</w:t>
      </w:r>
      <w:r>
        <w:rPr>
          <w:rFonts w:ascii="Times New Roman" w:hint="eastAsia"/>
          <w:kern w:val="2"/>
          <w:szCs w:val="22"/>
        </w:rPr>
        <w:t>1</w:t>
      </w:r>
      <w:r>
        <w:rPr>
          <w:rFonts w:ascii="Times New Roman"/>
          <w:kern w:val="2"/>
          <w:szCs w:val="22"/>
        </w:rPr>
        <w:t xml:space="preserve"> </w:t>
      </w:r>
      <w:r>
        <w:rPr>
          <w:rFonts w:ascii="Times New Roman" w:hint="eastAsia"/>
          <w:kern w:val="2"/>
          <w:szCs w:val="22"/>
        </w:rPr>
        <w:t>压力平衡技术</w:t>
      </w:r>
    </w:p>
    <w:p w14:paraId="261A8B84" w14:textId="77777777" w:rsidR="0014798F" w:rsidRDefault="00FE0155">
      <w:pPr>
        <w:pStyle w:val="1"/>
        <w:ind w:firstLineChars="200" w:firstLine="420"/>
        <w:rPr>
          <w:rStyle w:val="a9"/>
          <w:rFonts w:cs="Times New Roman"/>
          <w:lang w:val="en-US" w:bidi="ar-SA"/>
        </w:rPr>
      </w:pPr>
      <w:r>
        <w:rPr>
          <w:rFonts w:hint="eastAsia"/>
        </w:rPr>
        <w:t>通过调整油井的压力平衡，及时、准确地控制井口油气的流出，避免泄漏事故的发生。这通常使用油井安全阀、排气管等设备来实现。油井压力平衡技术主要应用于油气井的开发与生产过程中，尤其是在油井开采的初期、中期以及水驱或气驱开采过程中，用于解决油井压力变化问题，保持井筒内外的压力平衡。</w:t>
      </w:r>
    </w:p>
    <w:p w14:paraId="261A8B85" w14:textId="77777777" w:rsidR="0014798F" w:rsidRDefault="00FE0155">
      <w:pPr>
        <w:pStyle w:val="1"/>
        <w:spacing w:line="300" w:lineRule="auto"/>
        <w:ind w:firstLine="0"/>
      </w:pPr>
      <w:r>
        <w:rPr>
          <w:rFonts w:hint="eastAsia"/>
          <w:lang w:val="en-US"/>
        </w:rPr>
        <w:t xml:space="preserve">7.1.1.1 </w:t>
      </w:r>
      <w:r>
        <w:rPr>
          <w:rFonts w:hint="eastAsia"/>
        </w:rPr>
        <w:t>井口设备安装</w:t>
      </w:r>
    </w:p>
    <w:p w14:paraId="261A8B86" w14:textId="77777777" w:rsidR="0014798F" w:rsidRDefault="00FE0155">
      <w:pPr>
        <w:pStyle w:val="1"/>
        <w:ind w:firstLineChars="200" w:firstLine="420"/>
      </w:pPr>
      <w:r>
        <w:rPr>
          <w:rFonts w:hint="eastAsia"/>
        </w:rPr>
        <w:t>安装井口装置：包括安全阀、压力计、泥浆泵和井口防喷器等设备，以监测和控制油井的压力状态。</w:t>
      </w:r>
    </w:p>
    <w:p w14:paraId="261A8B87" w14:textId="77777777" w:rsidR="0014798F" w:rsidRDefault="00FE0155">
      <w:pPr>
        <w:pStyle w:val="1"/>
        <w:ind w:firstLineChars="200" w:firstLine="420"/>
      </w:pPr>
      <w:r>
        <w:rPr>
          <w:rFonts w:hint="eastAsia"/>
        </w:rPr>
        <w:t>使用密封设备：确保油井在开采和维护过程中始终保持密封，防止油气泄漏。</w:t>
      </w:r>
    </w:p>
    <w:p w14:paraId="261A8B88" w14:textId="77777777" w:rsidR="0014798F" w:rsidRDefault="00FE0155">
      <w:pPr>
        <w:pStyle w:val="1"/>
        <w:spacing w:line="300" w:lineRule="auto"/>
        <w:ind w:firstLine="0"/>
      </w:pPr>
      <w:r>
        <w:rPr>
          <w:rFonts w:hint="eastAsia"/>
          <w:lang w:val="en-US"/>
        </w:rPr>
        <w:t xml:space="preserve">7.1.1.2 </w:t>
      </w:r>
      <w:r>
        <w:rPr>
          <w:rFonts w:hint="eastAsia"/>
        </w:rPr>
        <w:t>控制井内压力</w:t>
      </w:r>
    </w:p>
    <w:p w14:paraId="261A8B89" w14:textId="77777777" w:rsidR="0014798F" w:rsidRDefault="00FE0155">
      <w:pPr>
        <w:pStyle w:val="1"/>
        <w:ind w:firstLineChars="200" w:firstLine="420"/>
      </w:pPr>
      <w:r>
        <w:rPr>
          <w:rFonts w:hint="eastAsia"/>
        </w:rPr>
        <w:t>使用钻井泥浆：在钻井过程中，使用密度合适的钻井泥浆来提供足够的井内压力，抵消地层压力，从而防止流体外泄。</w:t>
      </w:r>
    </w:p>
    <w:p w14:paraId="261A8B8A" w14:textId="77777777" w:rsidR="0014798F" w:rsidRDefault="00FE0155">
      <w:pPr>
        <w:pStyle w:val="1"/>
        <w:ind w:firstLineChars="200" w:firstLine="420"/>
      </w:pPr>
      <w:r>
        <w:rPr>
          <w:rFonts w:hint="eastAsia"/>
        </w:rPr>
        <w:t>调整泥浆密度：根据地层压力的变化，及时调整泥浆的密度，以保持井内压力高于地层压力。</w:t>
      </w:r>
    </w:p>
    <w:p w14:paraId="261A8B8B" w14:textId="77777777" w:rsidR="0014798F" w:rsidRDefault="00FE0155">
      <w:pPr>
        <w:pStyle w:val="1"/>
        <w:spacing w:line="300" w:lineRule="auto"/>
        <w:ind w:firstLine="0"/>
      </w:pPr>
      <w:r>
        <w:rPr>
          <w:rFonts w:hint="eastAsia"/>
          <w:lang w:val="en-US"/>
        </w:rPr>
        <w:t xml:space="preserve">7.1.1.3 </w:t>
      </w:r>
      <w:r>
        <w:rPr>
          <w:rFonts w:hint="eastAsia"/>
        </w:rPr>
        <w:t>压力监测</w:t>
      </w:r>
    </w:p>
    <w:p w14:paraId="261A8B8C" w14:textId="77777777" w:rsidR="0014798F" w:rsidRDefault="00FE0155">
      <w:pPr>
        <w:pStyle w:val="1"/>
        <w:ind w:firstLineChars="200" w:firstLine="420"/>
      </w:pPr>
      <w:r>
        <w:rPr>
          <w:rFonts w:hint="eastAsia"/>
        </w:rPr>
        <w:t>实时监测：使用压力传感器和数据采集系统，实时监测井内压力、温度等参数，确保井内保持稳定状态。</w:t>
      </w:r>
    </w:p>
    <w:p w14:paraId="261A8B8D" w14:textId="77777777" w:rsidR="0014798F" w:rsidRDefault="00FE0155">
      <w:pPr>
        <w:pStyle w:val="1"/>
        <w:ind w:firstLineChars="200" w:firstLine="420"/>
      </w:pPr>
      <w:r>
        <w:rPr>
          <w:rFonts w:hint="eastAsia"/>
        </w:rPr>
        <w:t>定期检查：定期对井口设备、管线和阀门进行检查，发现异常立即处理，防止因设备老化或损坏导致的泄漏。</w:t>
      </w:r>
    </w:p>
    <w:p w14:paraId="261A8B8E" w14:textId="77777777" w:rsidR="0014798F" w:rsidRDefault="00FE0155">
      <w:pPr>
        <w:pStyle w:val="1"/>
        <w:spacing w:line="300" w:lineRule="auto"/>
        <w:ind w:firstLine="0"/>
      </w:pPr>
      <w:r>
        <w:rPr>
          <w:rFonts w:hint="eastAsia"/>
          <w:lang w:val="en-US"/>
        </w:rPr>
        <w:t xml:space="preserve">7.1.1.4 </w:t>
      </w:r>
      <w:r>
        <w:rPr>
          <w:rFonts w:hint="eastAsia"/>
        </w:rPr>
        <w:t>实施防喷器</w:t>
      </w:r>
    </w:p>
    <w:p w14:paraId="261A8B8F" w14:textId="77777777" w:rsidR="0014798F" w:rsidRDefault="00FE0155">
      <w:pPr>
        <w:pStyle w:val="1"/>
        <w:ind w:firstLineChars="200" w:firstLine="420"/>
      </w:pPr>
      <w:r>
        <w:rPr>
          <w:rFonts w:hint="eastAsia"/>
        </w:rPr>
        <w:t>使用防喷器：在井口安装防喷器，防止井喷或其他意外情况的发生。防喷器可以在压力突然升高时自动封闭井口，阻止流体泄漏。</w:t>
      </w:r>
    </w:p>
    <w:p w14:paraId="261A8B90" w14:textId="77777777" w:rsidR="0014798F" w:rsidRDefault="00FE0155">
      <w:pPr>
        <w:pStyle w:val="1"/>
        <w:ind w:firstLineChars="200" w:firstLine="420"/>
      </w:pPr>
      <w:r>
        <w:rPr>
          <w:rFonts w:hint="eastAsia"/>
        </w:rPr>
        <w:t>紧急关闭系统：配置紧急关闭系统，确保在发现异常情况时能够迅速切断油井的流体通道。</w:t>
      </w:r>
    </w:p>
    <w:p w14:paraId="261A8B91" w14:textId="77777777" w:rsidR="0014798F" w:rsidRDefault="00FE0155">
      <w:pPr>
        <w:pStyle w:val="1"/>
        <w:spacing w:line="300" w:lineRule="auto"/>
        <w:ind w:firstLine="0"/>
      </w:pPr>
      <w:r>
        <w:rPr>
          <w:rFonts w:hint="eastAsia"/>
          <w:lang w:val="en-US"/>
        </w:rPr>
        <w:t xml:space="preserve">7.1.1.5 </w:t>
      </w:r>
      <w:r>
        <w:rPr>
          <w:rFonts w:hint="eastAsia"/>
        </w:rPr>
        <w:t>压力平衡液的应用</w:t>
      </w:r>
    </w:p>
    <w:p w14:paraId="261A8B92" w14:textId="77777777" w:rsidR="0014798F" w:rsidRDefault="00FE0155">
      <w:pPr>
        <w:pStyle w:val="1"/>
        <w:ind w:firstLineChars="200" w:firstLine="420"/>
      </w:pPr>
      <w:r>
        <w:rPr>
          <w:rFonts w:hint="eastAsia"/>
        </w:rPr>
        <w:t>注入压力平衡液：在某些情况下，向油井注入压力平衡液（如水、油、天然气等）以维持井内的压力平衡。这种液体的性质和注入量需要根据具体地层情况进行设计。</w:t>
      </w:r>
    </w:p>
    <w:p w14:paraId="261A8B93" w14:textId="77777777" w:rsidR="0014798F" w:rsidRDefault="00FE0155">
      <w:pPr>
        <w:pStyle w:val="1"/>
        <w:spacing w:line="300" w:lineRule="auto"/>
        <w:ind w:firstLine="0"/>
      </w:pPr>
      <w:r>
        <w:rPr>
          <w:rFonts w:hint="eastAsia"/>
          <w:lang w:val="en-US"/>
        </w:rPr>
        <w:t xml:space="preserve">7.1.1.6 </w:t>
      </w:r>
      <w:r>
        <w:rPr>
          <w:rFonts w:hint="eastAsia"/>
        </w:rPr>
        <w:t>泄漏检测</w:t>
      </w:r>
    </w:p>
    <w:p w14:paraId="261A8B94" w14:textId="77777777" w:rsidR="0014798F" w:rsidRDefault="00FE0155">
      <w:pPr>
        <w:pStyle w:val="1"/>
        <w:ind w:firstLineChars="200" w:firstLine="420"/>
      </w:pPr>
      <w:r>
        <w:rPr>
          <w:rFonts w:hint="eastAsia"/>
        </w:rPr>
        <w:t>漏油监测系统：部署监测设备，定期检查油井周边是否有泄漏的迹象，例如通过使用红外线探测、声学监测等技术。</w:t>
      </w:r>
    </w:p>
    <w:p w14:paraId="261A8B95" w14:textId="77777777" w:rsidR="0014798F" w:rsidRDefault="00FE0155">
      <w:pPr>
        <w:pStyle w:val="1"/>
        <w:ind w:firstLineChars="200" w:firstLine="420"/>
      </w:pPr>
      <w:r>
        <w:rPr>
          <w:rFonts w:hint="eastAsia"/>
        </w:rPr>
        <w:lastRenderedPageBreak/>
        <w:t>环境监测：监测油井周边的环境情况，及时发现任何异常情况，确保及时响应。</w:t>
      </w:r>
    </w:p>
    <w:p w14:paraId="261A8B96" w14:textId="77777777" w:rsidR="0014798F" w:rsidRDefault="00FE0155">
      <w:pPr>
        <w:pStyle w:val="1"/>
        <w:spacing w:line="300" w:lineRule="auto"/>
        <w:ind w:firstLine="0"/>
      </w:pPr>
      <w:r>
        <w:rPr>
          <w:rFonts w:hint="eastAsia"/>
          <w:lang w:val="en-US"/>
        </w:rPr>
        <w:t xml:space="preserve">7.1.1.7 </w:t>
      </w:r>
      <w:r>
        <w:rPr>
          <w:rFonts w:hint="eastAsia"/>
        </w:rPr>
        <w:t>应急预案</w:t>
      </w:r>
    </w:p>
    <w:p w14:paraId="261A8B97" w14:textId="77777777" w:rsidR="0014798F" w:rsidRDefault="00FE0155">
      <w:pPr>
        <w:pStyle w:val="1"/>
        <w:ind w:firstLineChars="200" w:firstLine="420"/>
      </w:pPr>
      <w:r>
        <w:rPr>
          <w:rFonts w:hint="eastAsia"/>
        </w:rPr>
        <w:t>制定应急预案：针对可能出现的油井泄漏情况，制定详细的应急响应计划，确保在发生意外时能够迅速有效地处理。</w:t>
      </w:r>
    </w:p>
    <w:p w14:paraId="261A8B98" w14:textId="77777777" w:rsidR="0014798F" w:rsidRDefault="00FE0155">
      <w:pPr>
        <w:pStyle w:val="ab"/>
        <w:spacing w:beforeLines="50" w:before="156" w:afterLines="50" w:after="156"/>
        <w:ind w:firstLineChars="0" w:firstLine="0"/>
        <w:rPr>
          <w:rFonts w:ascii="Times New Roman"/>
          <w:kern w:val="2"/>
          <w:szCs w:val="22"/>
        </w:rPr>
      </w:pPr>
      <w:r>
        <w:rPr>
          <w:rFonts w:ascii="Times New Roman" w:hint="eastAsia"/>
          <w:kern w:val="2"/>
          <w:szCs w:val="22"/>
        </w:rPr>
        <w:t>7</w:t>
      </w:r>
      <w:r>
        <w:rPr>
          <w:rFonts w:ascii="Times New Roman"/>
          <w:kern w:val="2"/>
          <w:szCs w:val="22"/>
        </w:rPr>
        <w:t>.</w:t>
      </w:r>
      <w:r>
        <w:rPr>
          <w:rFonts w:ascii="Times New Roman" w:hint="eastAsia"/>
          <w:kern w:val="2"/>
          <w:szCs w:val="22"/>
        </w:rPr>
        <w:t>1</w:t>
      </w:r>
      <w:r>
        <w:rPr>
          <w:rFonts w:ascii="Times New Roman"/>
          <w:kern w:val="2"/>
          <w:szCs w:val="22"/>
        </w:rPr>
        <w:t>.</w:t>
      </w:r>
      <w:r>
        <w:rPr>
          <w:rFonts w:ascii="Times New Roman" w:hint="eastAsia"/>
          <w:kern w:val="2"/>
          <w:szCs w:val="22"/>
        </w:rPr>
        <w:t>2</w:t>
      </w:r>
      <w:r>
        <w:rPr>
          <w:rFonts w:ascii="Times New Roman"/>
          <w:kern w:val="2"/>
          <w:szCs w:val="22"/>
        </w:rPr>
        <w:t xml:space="preserve"> </w:t>
      </w:r>
      <w:r>
        <w:rPr>
          <w:rFonts w:ascii="Times New Roman" w:hint="eastAsia"/>
          <w:kern w:val="2"/>
          <w:szCs w:val="22"/>
        </w:rPr>
        <w:t>井身完整性检查技术</w:t>
      </w:r>
    </w:p>
    <w:p w14:paraId="261A8B99" w14:textId="77777777" w:rsidR="0014798F" w:rsidRDefault="00FE0155">
      <w:pPr>
        <w:pStyle w:val="ab"/>
        <w:spacing w:line="300" w:lineRule="auto"/>
        <w:ind w:firstLineChars="0" w:firstLine="0"/>
        <w:rPr>
          <w:rFonts w:ascii="Times New Roman"/>
          <w:kern w:val="2"/>
          <w:szCs w:val="22"/>
        </w:rPr>
      </w:pPr>
      <w:r>
        <w:rPr>
          <w:rFonts w:ascii="Times New Roman" w:hint="eastAsia"/>
          <w:kern w:val="2"/>
          <w:szCs w:val="22"/>
        </w:rPr>
        <w:t xml:space="preserve">7.1.2.1 </w:t>
      </w:r>
      <w:r>
        <w:rPr>
          <w:rFonts w:ascii="Times New Roman" w:hint="eastAsia"/>
          <w:kern w:val="2"/>
          <w:szCs w:val="22"/>
        </w:rPr>
        <w:t>井身完整性检查的准备工作</w:t>
      </w:r>
    </w:p>
    <w:p w14:paraId="261A8B9A" w14:textId="77777777" w:rsidR="0014798F" w:rsidRDefault="00FE0155">
      <w:pPr>
        <w:pStyle w:val="1"/>
        <w:ind w:firstLineChars="200" w:firstLine="420"/>
      </w:pPr>
      <w:r>
        <w:rPr>
          <w:rFonts w:hint="eastAsia"/>
        </w:rPr>
        <w:t>a</w:t>
      </w:r>
      <w:r>
        <w:rPr>
          <w:rFonts w:hint="eastAsia"/>
        </w:rPr>
        <w:t>）资料收集与分析：收集井的历史数据，包括钻井记录、生产记录、压力测试结果等，分析井的结构和潜在风险。</w:t>
      </w:r>
    </w:p>
    <w:p w14:paraId="261A8B9B" w14:textId="77777777" w:rsidR="0014798F" w:rsidRDefault="00FE0155">
      <w:pPr>
        <w:pStyle w:val="1"/>
        <w:ind w:firstLineChars="200" w:firstLine="420"/>
      </w:pPr>
      <w:r>
        <w:rPr>
          <w:rFonts w:hint="eastAsia"/>
        </w:rPr>
        <w:t>b</w:t>
      </w:r>
      <w:r>
        <w:rPr>
          <w:rFonts w:hint="eastAsia"/>
        </w:rPr>
        <w:t>）确定检查频率：根据井的年龄、生产状况、环境因素等，制定合理的检查计划，定期进行井身完整性检查。</w:t>
      </w:r>
    </w:p>
    <w:p w14:paraId="261A8B9C" w14:textId="77777777" w:rsidR="0014798F" w:rsidRDefault="00FE0155">
      <w:pPr>
        <w:pStyle w:val="ab"/>
        <w:spacing w:line="300" w:lineRule="auto"/>
        <w:ind w:firstLineChars="0" w:firstLine="0"/>
        <w:rPr>
          <w:rFonts w:ascii="Times New Roman"/>
          <w:kern w:val="2"/>
          <w:szCs w:val="22"/>
        </w:rPr>
      </w:pPr>
      <w:r>
        <w:rPr>
          <w:rFonts w:ascii="Times New Roman" w:hint="eastAsia"/>
          <w:kern w:val="2"/>
          <w:szCs w:val="22"/>
        </w:rPr>
        <w:t xml:space="preserve">7.1.2.2 </w:t>
      </w:r>
      <w:r>
        <w:rPr>
          <w:rFonts w:ascii="Times New Roman" w:hint="eastAsia"/>
          <w:kern w:val="2"/>
          <w:szCs w:val="22"/>
        </w:rPr>
        <w:t>井身完整性检查方法</w:t>
      </w:r>
    </w:p>
    <w:p w14:paraId="261A8B9D" w14:textId="77777777" w:rsidR="0014798F" w:rsidRDefault="00FE0155">
      <w:pPr>
        <w:pStyle w:val="1"/>
        <w:ind w:firstLineChars="200" w:firstLine="420"/>
      </w:pPr>
      <w:r>
        <w:rPr>
          <w:rFonts w:hint="eastAsia"/>
        </w:rPr>
        <w:t>a</w:t>
      </w:r>
      <w:r>
        <w:rPr>
          <w:rFonts w:hint="eastAsia"/>
        </w:rPr>
        <w:t>）视觉检查：对井口、井身以及井口周边的设备进行目视检查，观察是否有明显的腐蚀、裂缝或其他结构性损伤。</w:t>
      </w:r>
    </w:p>
    <w:p w14:paraId="261A8B9E" w14:textId="77777777" w:rsidR="0014798F" w:rsidRDefault="00FE0155">
      <w:pPr>
        <w:pStyle w:val="1"/>
        <w:ind w:firstLineChars="200" w:firstLine="420"/>
      </w:pPr>
      <w:r>
        <w:rPr>
          <w:rFonts w:hint="eastAsia"/>
        </w:rPr>
        <w:t>b</w:t>
      </w:r>
      <w:r>
        <w:rPr>
          <w:rFonts w:hint="eastAsia"/>
        </w:rPr>
        <w:t>）压力测试：进行压力测试以评估井身的密封性和强度，确保井身能够承受预期的压力。</w:t>
      </w:r>
    </w:p>
    <w:p w14:paraId="261A8B9F" w14:textId="77777777" w:rsidR="0014798F" w:rsidRDefault="00FE0155">
      <w:pPr>
        <w:pStyle w:val="1"/>
        <w:ind w:firstLineChars="200" w:firstLine="420"/>
      </w:pPr>
      <w:r>
        <w:rPr>
          <w:rFonts w:hint="eastAsia"/>
        </w:rPr>
        <w:t>c</w:t>
      </w:r>
      <w:r>
        <w:rPr>
          <w:rFonts w:hint="eastAsia"/>
        </w:rPr>
        <w:t>）气密性测试：向井内施加一定的气压，观察压力是否保持稳定，来判断井身是否存在泄漏。</w:t>
      </w:r>
    </w:p>
    <w:p w14:paraId="261A8BA0" w14:textId="77777777" w:rsidR="0014798F" w:rsidRDefault="00FE0155">
      <w:pPr>
        <w:pStyle w:val="1"/>
        <w:ind w:firstLineChars="200" w:firstLine="420"/>
      </w:pPr>
      <w:r>
        <w:rPr>
          <w:rFonts w:hint="eastAsia"/>
        </w:rPr>
        <w:t>d</w:t>
      </w:r>
      <w:r>
        <w:rPr>
          <w:rFonts w:hint="eastAsia"/>
        </w:rPr>
        <w:t>）超声波检测：使用超声波探伤技术，检查井管的壁厚和结构完整性，及时发现腐蚀或其他缺陷。通过声波传播速度和衰减情况，评估井管的状况。</w:t>
      </w:r>
    </w:p>
    <w:p w14:paraId="261A8BA1" w14:textId="77777777" w:rsidR="0014798F" w:rsidRDefault="00FE0155">
      <w:pPr>
        <w:pStyle w:val="1"/>
        <w:ind w:firstLineChars="200" w:firstLine="420"/>
      </w:pPr>
      <w:r>
        <w:rPr>
          <w:rFonts w:hint="eastAsia"/>
        </w:rPr>
        <w:t>e</w:t>
      </w:r>
      <w:r>
        <w:rPr>
          <w:rFonts w:hint="eastAsia"/>
        </w:rPr>
        <w:t>）磁力检测：使用磁性检测设备检测井管的表面缺陷，如裂纹和腐蚀点。磁力检测能够快速定位缺陷位置，适用于管道和设备的检查。</w:t>
      </w:r>
    </w:p>
    <w:p w14:paraId="261A8BA2" w14:textId="77777777" w:rsidR="0014798F" w:rsidRDefault="00FE0155">
      <w:pPr>
        <w:pStyle w:val="1"/>
        <w:ind w:firstLineChars="200" w:firstLine="420"/>
      </w:pPr>
      <w:r>
        <w:rPr>
          <w:rFonts w:hint="eastAsia"/>
        </w:rPr>
        <w:t>声波成像：使用声波成像技术获取井壁的详细图像，评估井身的几何形状和完整性。该技术可以提供井身的内部结构信息，帮助识别潜在的泄漏点。</w:t>
      </w:r>
    </w:p>
    <w:p w14:paraId="261A8BA3" w14:textId="77777777" w:rsidR="0014798F" w:rsidRDefault="00FE0155">
      <w:pPr>
        <w:pStyle w:val="1"/>
        <w:ind w:firstLineChars="200" w:firstLine="420"/>
      </w:pPr>
      <w:r>
        <w:rPr>
          <w:rFonts w:hint="eastAsia"/>
        </w:rPr>
        <w:t>f</w:t>
      </w:r>
      <w:r>
        <w:rPr>
          <w:rFonts w:hint="eastAsia"/>
        </w:rPr>
        <w:t>）电磁波检测：采用电磁波检测技术监测井身的导电性和绝缘性，检查井身材料的完整性。</w:t>
      </w:r>
    </w:p>
    <w:p w14:paraId="261A8BA4" w14:textId="77777777" w:rsidR="0014798F" w:rsidRDefault="00FE0155">
      <w:pPr>
        <w:pStyle w:val="1"/>
        <w:ind w:firstLineChars="200" w:firstLine="420"/>
      </w:pPr>
      <w:r>
        <w:rPr>
          <w:rFonts w:hint="eastAsia"/>
        </w:rPr>
        <w:t>特别适用于检测井身材料的老化和损坏情况。</w:t>
      </w:r>
    </w:p>
    <w:p w14:paraId="261A8BA5" w14:textId="77777777" w:rsidR="0014798F" w:rsidRDefault="00FE0155">
      <w:pPr>
        <w:pStyle w:val="1"/>
        <w:ind w:firstLine="0"/>
      </w:pPr>
      <w:r>
        <w:rPr>
          <w:rFonts w:hint="eastAsia"/>
        </w:rPr>
        <w:t>7.1.2.3</w:t>
      </w:r>
      <w:r>
        <w:rPr>
          <w:rFonts w:hint="eastAsia"/>
        </w:rPr>
        <w:t>数据分析与评估</w:t>
      </w:r>
    </w:p>
    <w:p w14:paraId="261A8BA6" w14:textId="77777777" w:rsidR="0014798F" w:rsidRDefault="00FE0155">
      <w:pPr>
        <w:pStyle w:val="1"/>
        <w:ind w:firstLineChars="200" w:firstLine="420"/>
      </w:pPr>
      <w:r>
        <w:rPr>
          <w:rFonts w:hint="eastAsia"/>
        </w:rPr>
        <w:t>a</w:t>
      </w:r>
      <w:r>
        <w:rPr>
          <w:rFonts w:hint="eastAsia"/>
        </w:rPr>
        <w:t>）数据处理：对检查获得的数据进行分析，使用专业软件生成检测报告，包括缺陷类型、位置及严重程度。</w:t>
      </w:r>
    </w:p>
    <w:p w14:paraId="261A8BA7" w14:textId="77777777" w:rsidR="0014798F" w:rsidRDefault="00FE0155">
      <w:pPr>
        <w:pStyle w:val="1"/>
        <w:ind w:firstLineChars="200" w:firstLine="420"/>
      </w:pPr>
      <w:r>
        <w:rPr>
          <w:rFonts w:hint="eastAsia"/>
        </w:rPr>
        <w:t>b</w:t>
      </w:r>
      <w:r>
        <w:rPr>
          <w:rFonts w:hint="eastAsia"/>
        </w:rPr>
        <w:t>）完整性评估：根据检测结果评估井身的完整性，判断是否需要采取进一步的维护或修复措施。</w:t>
      </w:r>
    </w:p>
    <w:p w14:paraId="261A8BA8" w14:textId="77777777" w:rsidR="0014798F" w:rsidRDefault="00FE0155">
      <w:pPr>
        <w:pStyle w:val="ab"/>
        <w:spacing w:line="300" w:lineRule="auto"/>
        <w:ind w:firstLineChars="0" w:firstLine="0"/>
        <w:rPr>
          <w:rFonts w:ascii="Times New Roman"/>
          <w:kern w:val="2"/>
          <w:szCs w:val="22"/>
        </w:rPr>
      </w:pPr>
      <w:r>
        <w:rPr>
          <w:rFonts w:ascii="Times New Roman" w:hint="eastAsia"/>
          <w:kern w:val="2"/>
          <w:szCs w:val="22"/>
        </w:rPr>
        <w:t>7.1.2.4.</w:t>
      </w:r>
      <w:r>
        <w:rPr>
          <w:rFonts w:ascii="Times New Roman" w:hint="eastAsia"/>
          <w:kern w:val="2"/>
          <w:szCs w:val="22"/>
        </w:rPr>
        <w:t>维护与修复</w:t>
      </w:r>
    </w:p>
    <w:p w14:paraId="261A8BA9" w14:textId="77777777" w:rsidR="0014798F" w:rsidRDefault="00FE0155">
      <w:pPr>
        <w:pStyle w:val="1"/>
        <w:ind w:firstLineChars="200" w:firstLine="420"/>
      </w:pPr>
      <w:r>
        <w:rPr>
          <w:rFonts w:hint="eastAsia"/>
        </w:rPr>
        <w:t>a</w:t>
      </w:r>
      <w:r>
        <w:rPr>
          <w:rFonts w:hint="eastAsia"/>
        </w:rPr>
        <w:t>）制定维护计划：针对检测中发现的问题，制定详细的维护和修复计划，确保井身结构的安全性。</w:t>
      </w:r>
    </w:p>
    <w:p w14:paraId="261A8BAA" w14:textId="77777777" w:rsidR="0014798F" w:rsidRDefault="00FE0155">
      <w:pPr>
        <w:pStyle w:val="1"/>
        <w:ind w:firstLineChars="200" w:firstLine="420"/>
      </w:pPr>
      <w:r>
        <w:rPr>
          <w:rFonts w:hint="eastAsia"/>
        </w:rPr>
        <w:t>b</w:t>
      </w:r>
      <w:r>
        <w:rPr>
          <w:rFonts w:hint="eastAsia"/>
        </w:rPr>
        <w:t>）实施修复措施：根据评估结果，采取相应的修复措施，如更换受损的井管、加固井壁等，确保井身的结构完整性。</w:t>
      </w:r>
    </w:p>
    <w:p w14:paraId="261A8BAB" w14:textId="77777777" w:rsidR="0014798F" w:rsidRDefault="00FE0155">
      <w:pPr>
        <w:pStyle w:val="ab"/>
        <w:spacing w:beforeLines="50" w:before="156" w:afterLines="50" w:after="156"/>
        <w:ind w:firstLineChars="0" w:firstLine="0"/>
        <w:rPr>
          <w:rFonts w:ascii="Times New Roman"/>
          <w:kern w:val="2"/>
          <w:szCs w:val="22"/>
        </w:rPr>
      </w:pPr>
      <w:r>
        <w:rPr>
          <w:rFonts w:ascii="Times New Roman" w:hint="eastAsia"/>
          <w:kern w:val="2"/>
          <w:szCs w:val="22"/>
        </w:rPr>
        <w:t xml:space="preserve">7.1.3 </w:t>
      </w:r>
      <w:r>
        <w:rPr>
          <w:rFonts w:ascii="Times New Roman"/>
          <w:kern w:val="2"/>
          <w:szCs w:val="22"/>
        </w:rPr>
        <w:t>水源地水源井污染控制措施</w:t>
      </w:r>
    </w:p>
    <w:p w14:paraId="261A8BAC" w14:textId="77777777" w:rsidR="0014798F" w:rsidRDefault="00FE0155">
      <w:pPr>
        <w:pStyle w:val="1"/>
        <w:ind w:firstLineChars="200" w:firstLine="420"/>
      </w:pPr>
      <w:r>
        <w:t>如果水源井中监测到石油类或挥发酚含量短时间明显升高，说明区域地下水水质已受到明显影响，需立即对直接受影响的水源井实施关井停水，并立即采取以下应急和替代供水措施：</w:t>
      </w:r>
    </w:p>
    <w:p w14:paraId="261A8BAD" w14:textId="77777777" w:rsidR="0014798F" w:rsidRDefault="00FE0155">
      <w:pPr>
        <w:pStyle w:val="1"/>
        <w:ind w:firstLineChars="200" w:firstLine="420"/>
      </w:pPr>
      <w:r>
        <w:lastRenderedPageBreak/>
        <w:t>适当加大对距离油田开发区域较远的水源井采水量的应急补充供水，并持续做好监测。立即在距离被污染区域</w:t>
      </w:r>
      <w:r>
        <w:t>5 km</w:t>
      </w:r>
      <w:r>
        <w:t>以上的地域选择新址打供水水源井替代原有井。一般打新井和建立相关供水管道可在</w:t>
      </w:r>
      <w:r>
        <w:t>3</w:t>
      </w:r>
      <w:r>
        <w:t>个月内完成。完成后启用新水源井，原受影响的水源井未经检验合格不能供水。</w:t>
      </w:r>
    </w:p>
    <w:p w14:paraId="261A8BAE" w14:textId="77777777" w:rsidR="0014798F" w:rsidRDefault="00FE0155">
      <w:pPr>
        <w:pStyle w:val="ab"/>
        <w:spacing w:beforeLines="50" w:before="156" w:afterLines="50" w:after="156"/>
        <w:ind w:firstLineChars="0" w:firstLine="0"/>
        <w:rPr>
          <w:rFonts w:ascii="Times New Roman"/>
          <w:kern w:val="2"/>
          <w:szCs w:val="22"/>
        </w:rPr>
      </w:pPr>
      <w:r>
        <w:rPr>
          <w:rFonts w:ascii="Times New Roman" w:hint="eastAsia"/>
          <w:kern w:val="2"/>
          <w:szCs w:val="22"/>
        </w:rPr>
        <w:t xml:space="preserve">7.1.4 </w:t>
      </w:r>
      <w:r>
        <w:rPr>
          <w:rFonts w:ascii="Times New Roman" w:hint="eastAsia"/>
          <w:kern w:val="2"/>
          <w:szCs w:val="22"/>
        </w:rPr>
        <w:t>原油泄漏控制围堰</w:t>
      </w:r>
    </w:p>
    <w:p w14:paraId="261A8BAF" w14:textId="77777777" w:rsidR="0014798F" w:rsidRDefault="00FE0155">
      <w:pPr>
        <w:pStyle w:val="1"/>
        <w:spacing w:line="300" w:lineRule="auto"/>
        <w:ind w:firstLine="0"/>
        <w:rPr>
          <w:lang w:val="en-US"/>
        </w:rPr>
      </w:pPr>
      <w:r>
        <w:rPr>
          <w:rFonts w:hint="eastAsia"/>
          <w:lang w:val="en-US"/>
        </w:rPr>
        <w:t xml:space="preserve">7.1.4.1 </w:t>
      </w:r>
      <w:r>
        <w:rPr>
          <w:lang w:val="en-US"/>
        </w:rPr>
        <w:t>围堰的设计与建设</w:t>
      </w:r>
    </w:p>
    <w:p w14:paraId="261A8BB0" w14:textId="77777777" w:rsidR="0014798F" w:rsidRDefault="00FE0155">
      <w:pPr>
        <w:pStyle w:val="1"/>
        <w:ind w:firstLineChars="200" w:firstLine="420"/>
      </w:pPr>
      <w:r>
        <w:rPr>
          <w:rFonts w:hint="eastAsia"/>
        </w:rPr>
        <w:t>a</w:t>
      </w:r>
      <w:r>
        <w:rPr>
          <w:rFonts w:hint="eastAsia"/>
        </w:rPr>
        <w:t>）</w:t>
      </w:r>
      <w:r>
        <w:t>选址与设计：根据油罐、管道或其他潜在泄漏源的位置，选择合适的围堰位置。确保围堰能有效包围泄漏源，并考虑到地形、排水和水位等因素。设计围堰的高度、宽度和材料（如土壤、混凝土、塑料、金属等），确保其能够承受预期的原油泄漏量。</w:t>
      </w:r>
    </w:p>
    <w:p w14:paraId="261A8BB1" w14:textId="77777777" w:rsidR="0014798F" w:rsidRDefault="00FE0155">
      <w:pPr>
        <w:pStyle w:val="1"/>
        <w:ind w:firstLineChars="200" w:firstLine="420"/>
      </w:pPr>
      <w:r>
        <w:rPr>
          <w:rFonts w:hint="eastAsia"/>
        </w:rPr>
        <w:t>b</w:t>
      </w:r>
      <w:r>
        <w:rPr>
          <w:rFonts w:hint="eastAsia"/>
        </w:rPr>
        <w:t>）</w:t>
      </w:r>
      <w:r>
        <w:t>围堰建设：在选定位置建设围堰，确保围堰具有良好的密封性和足够的承载能力。使用耐腐蚀材料，以提高围堰的耐久性，延长使用寿命。</w:t>
      </w:r>
    </w:p>
    <w:p w14:paraId="261A8BB2" w14:textId="77777777" w:rsidR="0014798F" w:rsidRDefault="00FE0155">
      <w:pPr>
        <w:pStyle w:val="1"/>
        <w:spacing w:line="300" w:lineRule="auto"/>
        <w:ind w:firstLine="0"/>
        <w:rPr>
          <w:lang w:val="en-US"/>
        </w:rPr>
      </w:pPr>
      <w:r>
        <w:rPr>
          <w:rFonts w:hint="eastAsia"/>
          <w:lang w:val="en-US"/>
        </w:rPr>
        <w:t xml:space="preserve">7.1.4.2 </w:t>
      </w:r>
      <w:r>
        <w:rPr>
          <w:lang w:val="en-US"/>
        </w:rPr>
        <w:t>围堰的日常检查与维护</w:t>
      </w:r>
    </w:p>
    <w:p w14:paraId="261A8BB3" w14:textId="77777777" w:rsidR="0014798F" w:rsidRDefault="00FE0155">
      <w:pPr>
        <w:pStyle w:val="1"/>
        <w:ind w:firstLineChars="200" w:firstLine="420"/>
      </w:pPr>
      <w:r>
        <w:rPr>
          <w:rFonts w:hint="eastAsia"/>
        </w:rPr>
        <w:t>a</w:t>
      </w:r>
      <w:r>
        <w:rPr>
          <w:rFonts w:hint="eastAsia"/>
        </w:rPr>
        <w:t>）</w:t>
      </w:r>
      <w:r>
        <w:t>定期检查：定期对围堰进行检查，确保其没有破损、沉降或渗漏现象。检查围堰周边的排水系统，确保在雨季或大雨后围堰内部不会积水。</w:t>
      </w:r>
    </w:p>
    <w:p w14:paraId="261A8BB4" w14:textId="77777777" w:rsidR="0014798F" w:rsidRDefault="00FE0155">
      <w:pPr>
        <w:pStyle w:val="1"/>
        <w:ind w:firstLineChars="200" w:firstLine="420"/>
      </w:pPr>
      <w:r>
        <w:rPr>
          <w:rFonts w:hint="eastAsia"/>
        </w:rPr>
        <w:t>b</w:t>
      </w:r>
      <w:r>
        <w:rPr>
          <w:rFonts w:hint="eastAsia"/>
        </w:rPr>
        <w:t>）</w:t>
      </w:r>
      <w:r>
        <w:t>维护和修复：对损坏的围堰及时进行修复或重建，以保持其防护效果。清理围堰内的杂物，确保围堰始终保持有效的工作状态。</w:t>
      </w:r>
    </w:p>
    <w:p w14:paraId="261A8BB5" w14:textId="77777777" w:rsidR="0014798F" w:rsidRDefault="00FE0155">
      <w:pPr>
        <w:pStyle w:val="1"/>
        <w:spacing w:line="300" w:lineRule="auto"/>
        <w:ind w:firstLine="0"/>
        <w:rPr>
          <w:lang w:val="en-US"/>
        </w:rPr>
      </w:pPr>
      <w:r>
        <w:rPr>
          <w:rFonts w:hint="eastAsia"/>
          <w:lang w:val="en-US"/>
        </w:rPr>
        <w:t>7.1.4.</w:t>
      </w:r>
      <w:r>
        <w:rPr>
          <w:lang w:val="en-US"/>
        </w:rPr>
        <w:t>3</w:t>
      </w:r>
      <w:r>
        <w:rPr>
          <w:rFonts w:hint="eastAsia"/>
          <w:lang w:val="en-US"/>
        </w:rPr>
        <w:t xml:space="preserve"> </w:t>
      </w:r>
      <w:r>
        <w:rPr>
          <w:lang w:val="en-US"/>
        </w:rPr>
        <w:t>围堰的使用与应急响应</w:t>
      </w:r>
    </w:p>
    <w:p w14:paraId="261A8BB6" w14:textId="77777777" w:rsidR="0014798F" w:rsidRDefault="00FE0155">
      <w:pPr>
        <w:pStyle w:val="1"/>
        <w:ind w:firstLineChars="200" w:firstLine="420"/>
      </w:pPr>
      <w:r>
        <w:rPr>
          <w:rFonts w:hint="eastAsia"/>
        </w:rPr>
        <w:t>a</w:t>
      </w:r>
      <w:r>
        <w:rPr>
          <w:rFonts w:hint="eastAsia"/>
        </w:rPr>
        <w:t>）</w:t>
      </w:r>
      <w:r>
        <w:t>泄漏检测：安装泄漏监测系统，实时监测围堰内部和周边的油气浓度，及时发现泄漏。</w:t>
      </w:r>
    </w:p>
    <w:p w14:paraId="261A8BB7" w14:textId="77777777" w:rsidR="0014798F" w:rsidRDefault="00FE0155">
      <w:pPr>
        <w:pStyle w:val="1"/>
        <w:ind w:firstLineChars="200" w:firstLine="420"/>
      </w:pPr>
      <w:r>
        <w:t>定期进行泄漏演练，确保工作人员熟悉围堰的使用和应急处理流程。</w:t>
      </w:r>
    </w:p>
    <w:p w14:paraId="261A8BB8" w14:textId="77777777" w:rsidR="0014798F" w:rsidRDefault="00FE0155">
      <w:pPr>
        <w:pStyle w:val="1"/>
        <w:ind w:firstLineChars="200" w:firstLine="420"/>
      </w:pPr>
      <w:r>
        <w:rPr>
          <w:rFonts w:hint="eastAsia"/>
        </w:rPr>
        <w:t>b</w:t>
      </w:r>
      <w:r>
        <w:rPr>
          <w:rFonts w:hint="eastAsia"/>
        </w:rPr>
        <w:t>）</w:t>
      </w:r>
      <w:r>
        <w:t>原油收集：在围堰内配置抽油设备或吸油垫等工具，及时收集围堰内泄漏的原油，防止其渗透到土壤或水体中。收集的原油应按照相关规定进行处理和储存，避免二次污染。</w:t>
      </w:r>
    </w:p>
    <w:p w14:paraId="261A8BB9" w14:textId="77777777" w:rsidR="0014798F" w:rsidRDefault="00FE0155">
      <w:pPr>
        <w:pStyle w:val="1"/>
        <w:spacing w:line="300" w:lineRule="auto"/>
        <w:ind w:firstLine="0"/>
        <w:rPr>
          <w:lang w:val="en-US"/>
        </w:rPr>
      </w:pPr>
      <w:r>
        <w:rPr>
          <w:rFonts w:hint="eastAsia"/>
          <w:lang w:val="en-US"/>
        </w:rPr>
        <w:t>7.1.4.</w:t>
      </w:r>
      <w:r>
        <w:rPr>
          <w:lang w:val="en-US"/>
        </w:rPr>
        <w:t>4</w:t>
      </w:r>
      <w:r>
        <w:rPr>
          <w:rFonts w:hint="eastAsia"/>
          <w:lang w:val="en-US"/>
        </w:rPr>
        <w:t xml:space="preserve"> </w:t>
      </w:r>
      <w:r>
        <w:rPr>
          <w:lang w:val="en-US"/>
        </w:rPr>
        <w:t>围堰的环保管理</w:t>
      </w:r>
    </w:p>
    <w:p w14:paraId="261A8BBA" w14:textId="77777777" w:rsidR="0014798F" w:rsidRDefault="00FE0155">
      <w:pPr>
        <w:pStyle w:val="1"/>
        <w:ind w:firstLineChars="200" w:firstLine="420"/>
      </w:pPr>
      <w:r>
        <w:rPr>
          <w:rFonts w:hint="eastAsia"/>
        </w:rPr>
        <w:t>a</w:t>
      </w:r>
      <w:r>
        <w:rPr>
          <w:rFonts w:hint="eastAsia"/>
        </w:rPr>
        <w:t>）</w:t>
      </w:r>
      <w:r>
        <w:t>培训工作人员：定期对操作人员进行培训，确保他们熟悉围堰的操作流程、监测设备的使用和应急响应程序。进行环保意识教育，强调围堰使用的重要性和维护必要性。</w:t>
      </w:r>
    </w:p>
    <w:p w14:paraId="261A8BBB" w14:textId="77777777" w:rsidR="0014798F" w:rsidRDefault="00FE0155">
      <w:pPr>
        <w:pStyle w:val="1"/>
        <w:ind w:firstLineChars="200" w:firstLine="420"/>
      </w:pPr>
      <w:r>
        <w:rPr>
          <w:rFonts w:hint="eastAsia"/>
        </w:rPr>
        <w:t>b</w:t>
      </w:r>
      <w:r>
        <w:rPr>
          <w:rFonts w:hint="eastAsia"/>
        </w:rPr>
        <w:t>）</w:t>
      </w:r>
      <w:r>
        <w:t>记录与报告：对围堰的检查、维护、泄漏情况等进行详细记录，并定期提交相关报告，确保信息的透明性和可追溯性。</w:t>
      </w:r>
    </w:p>
    <w:p w14:paraId="261A8BBC" w14:textId="77777777" w:rsidR="0014798F" w:rsidRDefault="00FE0155">
      <w:pPr>
        <w:pStyle w:val="ab"/>
        <w:spacing w:beforeLines="50" w:before="156" w:afterLines="50" w:after="156" w:line="276" w:lineRule="auto"/>
        <w:ind w:firstLineChars="0" w:firstLine="0"/>
        <w:outlineLvl w:val="1"/>
        <w:rPr>
          <w:rFonts w:ascii="Times New Roman" w:eastAsia="黑体"/>
          <w:szCs w:val="22"/>
        </w:rPr>
      </w:pPr>
      <w:bookmarkStart w:id="159" w:name="_Toc7041"/>
      <w:bookmarkStart w:id="160" w:name="_Toc177687488"/>
      <w:r>
        <w:rPr>
          <w:rFonts w:ascii="Times New Roman" w:eastAsia="黑体" w:hint="eastAsia"/>
          <w:szCs w:val="22"/>
        </w:rPr>
        <w:t>7</w:t>
      </w:r>
      <w:r>
        <w:rPr>
          <w:rFonts w:ascii="Times New Roman" w:eastAsia="黑体"/>
          <w:szCs w:val="22"/>
        </w:rPr>
        <w:t xml:space="preserve">.2 </w:t>
      </w:r>
      <w:r>
        <w:rPr>
          <w:rFonts w:ascii="Times New Roman" w:eastAsia="黑体"/>
          <w:szCs w:val="22"/>
        </w:rPr>
        <w:t>油田污水污染源控制技术</w:t>
      </w:r>
      <w:bookmarkEnd w:id="159"/>
      <w:bookmarkEnd w:id="160"/>
    </w:p>
    <w:p w14:paraId="261A8BBD" w14:textId="77777777" w:rsidR="0014798F" w:rsidRDefault="00FE0155">
      <w:pPr>
        <w:pStyle w:val="ab"/>
        <w:spacing w:beforeLines="50" w:before="156" w:afterLines="50" w:after="156"/>
        <w:ind w:firstLineChars="0" w:firstLine="0"/>
        <w:rPr>
          <w:rFonts w:ascii="Times New Roman"/>
          <w:kern w:val="2"/>
          <w:szCs w:val="22"/>
        </w:rPr>
      </w:pPr>
      <w:r>
        <w:rPr>
          <w:rFonts w:ascii="Times New Roman" w:hint="eastAsia"/>
          <w:kern w:val="2"/>
          <w:szCs w:val="22"/>
        </w:rPr>
        <w:t>7</w:t>
      </w:r>
      <w:r>
        <w:rPr>
          <w:rFonts w:ascii="Times New Roman"/>
          <w:kern w:val="2"/>
          <w:szCs w:val="22"/>
        </w:rPr>
        <w:t xml:space="preserve">.2.1 </w:t>
      </w:r>
      <w:r>
        <w:rPr>
          <w:rFonts w:ascii="Times New Roman"/>
          <w:kern w:val="2"/>
          <w:szCs w:val="22"/>
        </w:rPr>
        <w:t>压裂返排液控制技术</w:t>
      </w:r>
    </w:p>
    <w:p w14:paraId="261A8BBE" w14:textId="77777777" w:rsidR="0014798F" w:rsidRDefault="00FE0155">
      <w:pPr>
        <w:pStyle w:val="ab"/>
        <w:spacing w:beforeLines="50" w:before="156" w:afterLines="50" w:after="156"/>
        <w:rPr>
          <w:rFonts w:ascii="Times New Roman"/>
          <w:kern w:val="2"/>
          <w:szCs w:val="22"/>
        </w:rPr>
      </w:pPr>
      <w:r>
        <w:rPr>
          <w:rFonts w:ascii="Times New Roman" w:hint="eastAsia"/>
          <w:kern w:val="2"/>
          <w:szCs w:val="22"/>
        </w:rPr>
        <w:t>压裂返排液物理化学处理技术主要应用于页岩气、致密油、煤层气等非常规油气资源的开发过程中。在水力压裂过程中，大量的返排液被带出，需要对这些返排液进行物理和化学处理，以去除有害物质，防止环境污染并提高水资源的回收利用率。</w:t>
      </w:r>
    </w:p>
    <w:p w14:paraId="261A8BBF" w14:textId="77777777" w:rsidR="0014798F" w:rsidRDefault="00FE0155">
      <w:pPr>
        <w:pStyle w:val="ab"/>
        <w:spacing w:beforeLines="50" w:before="156" w:afterLines="50" w:after="156"/>
        <w:ind w:firstLineChars="0" w:firstLine="0"/>
        <w:rPr>
          <w:rFonts w:ascii="Times New Roman"/>
          <w:kern w:val="2"/>
          <w:szCs w:val="22"/>
        </w:rPr>
      </w:pPr>
      <w:r>
        <w:rPr>
          <w:rFonts w:ascii="Times New Roman" w:hint="eastAsia"/>
          <w:kern w:val="2"/>
          <w:szCs w:val="22"/>
        </w:rPr>
        <w:t xml:space="preserve">7.2.1.1 </w:t>
      </w:r>
      <w:r>
        <w:rPr>
          <w:rFonts w:ascii="Times New Roman" w:hint="eastAsia"/>
          <w:kern w:val="2"/>
          <w:szCs w:val="22"/>
        </w:rPr>
        <w:t>物理技术处理工艺</w:t>
      </w:r>
    </w:p>
    <w:p w14:paraId="261A8BC0" w14:textId="77777777" w:rsidR="0014798F" w:rsidRDefault="00FE0155">
      <w:pPr>
        <w:pStyle w:val="1"/>
        <w:ind w:firstLineChars="200" w:firstLine="420"/>
        <w:rPr>
          <w:lang w:val="en-US"/>
        </w:rPr>
      </w:pPr>
      <w:r>
        <w:rPr>
          <w:rFonts w:hint="eastAsia"/>
          <w:lang w:val="en-US"/>
        </w:rPr>
        <w:t>a</w:t>
      </w:r>
      <w:r>
        <w:rPr>
          <w:rFonts w:hint="eastAsia"/>
          <w:lang w:val="en-US"/>
        </w:rPr>
        <w:t>）</w:t>
      </w:r>
      <w:r>
        <w:rPr>
          <w:lang w:val="en-US"/>
        </w:rPr>
        <w:t>返排液收集与预处理</w:t>
      </w:r>
    </w:p>
    <w:p w14:paraId="261A8BC1" w14:textId="77777777" w:rsidR="0014798F" w:rsidRDefault="00FE0155">
      <w:pPr>
        <w:pStyle w:val="1"/>
        <w:ind w:firstLineChars="200" w:firstLine="420"/>
        <w:rPr>
          <w:lang w:val="en-US"/>
        </w:rPr>
      </w:pPr>
      <w:r>
        <w:rPr>
          <w:lang w:val="en-US"/>
        </w:rPr>
        <w:t>压裂返排液在被送到处理设施前，首先需要进行初步收集和预处理。这个阶段主要是为了去除返排液中的大颗粒杂质，为后续处理提供良好的基础。</w:t>
      </w:r>
    </w:p>
    <w:p w14:paraId="261A8BC2" w14:textId="77777777" w:rsidR="0014798F" w:rsidRDefault="00FE0155">
      <w:pPr>
        <w:pStyle w:val="1"/>
        <w:ind w:firstLineChars="200" w:firstLine="420"/>
        <w:rPr>
          <w:lang w:val="en-US"/>
        </w:rPr>
      </w:pPr>
      <w:r>
        <w:rPr>
          <w:lang w:val="en-US"/>
        </w:rPr>
        <w:t>沉降池（或初步沉淀）：通过重力作用，让较大的固体颗粒沉降到池底，减少水中的悬浮固体含量。</w:t>
      </w:r>
    </w:p>
    <w:p w14:paraId="261A8BC3" w14:textId="77777777" w:rsidR="0014798F" w:rsidRDefault="00FE0155">
      <w:pPr>
        <w:pStyle w:val="1"/>
        <w:ind w:firstLineChars="200" w:firstLine="420"/>
        <w:rPr>
          <w:lang w:val="en-US"/>
        </w:rPr>
      </w:pPr>
      <w:r>
        <w:rPr>
          <w:lang w:val="en-US"/>
        </w:rPr>
        <w:lastRenderedPageBreak/>
        <w:t>分离器（油水分离器）：返回液可能含有油和水的混合物，使用油水分离器将油和水分离。常见的方法包括重力分离、气浮分离等。</w:t>
      </w:r>
    </w:p>
    <w:p w14:paraId="261A8BC4" w14:textId="77777777" w:rsidR="0014798F" w:rsidRDefault="00FE0155">
      <w:pPr>
        <w:pStyle w:val="1"/>
        <w:ind w:firstLineChars="200" w:firstLine="420"/>
        <w:rPr>
          <w:lang w:val="en-US"/>
        </w:rPr>
      </w:pPr>
      <w:r>
        <w:rPr>
          <w:rFonts w:hint="eastAsia"/>
          <w:lang w:val="en-US"/>
        </w:rPr>
        <w:t>b</w:t>
      </w:r>
      <w:r>
        <w:rPr>
          <w:rFonts w:hint="eastAsia"/>
          <w:lang w:val="en-US"/>
        </w:rPr>
        <w:t>）</w:t>
      </w:r>
      <w:r>
        <w:rPr>
          <w:lang w:val="en-US"/>
        </w:rPr>
        <w:t>固液分离</w:t>
      </w:r>
    </w:p>
    <w:p w14:paraId="261A8BC5" w14:textId="77777777" w:rsidR="0014798F" w:rsidRDefault="00FE0155">
      <w:pPr>
        <w:pStyle w:val="1"/>
        <w:ind w:firstLineChars="200" w:firstLine="420"/>
        <w:rPr>
          <w:lang w:val="en-US"/>
        </w:rPr>
      </w:pPr>
      <w:r>
        <w:rPr>
          <w:lang w:val="en-US"/>
        </w:rPr>
        <w:t>为了去除返排液中的悬浮固体和一些较大的颗粒，可以使用以下几种固液分离技术。</w:t>
      </w:r>
    </w:p>
    <w:p w14:paraId="261A8BC6" w14:textId="77777777" w:rsidR="0014798F" w:rsidRDefault="00FE0155">
      <w:pPr>
        <w:pStyle w:val="1"/>
        <w:ind w:firstLineChars="200" w:firstLine="420"/>
        <w:rPr>
          <w:lang w:val="en-US"/>
        </w:rPr>
      </w:pPr>
      <w:r>
        <w:rPr>
          <w:lang w:val="en-US"/>
        </w:rPr>
        <w:t>机械过滤：利用过滤介质（如砂滤、布袋过滤器等）去除水中的固体颗粒。过滤器通过物理孔隙阻隔机制，将悬浮固体颗粒与水分开。这一过程可以去除水中的大部分固体物质，但无法去除溶解性污染物。</w:t>
      </w:r>
    </w:p>
    <w:p w14:paraId="261A8BC7" w14:textId="77777777" w:rsidR="0014798F" w:rsidRDefault="00FE0155">
      <w:pPr>
        <w:pStyle w:val="1"/>
        <w:ind w:firstLineChars="200" w:firstLine="420"/>
        <w:rPr>
          <w:lang w:val="en-US"/>
        </w:rPr>
      </w:pPr>
      <w:r>
        <w:rPr>
          <w:lang w:val="en-US"/>
        </w:rPr>
        <w:t>砂滤：适用于过滤颗粒较大的物质，通常是第一道过滤工序。</w:t>
      </w:r>
    </w:p>
    <w:p w14:paraId="261A8BC8" w14:textId="77777777" w:rsidR="0014798F" w:rsidRDefault="00FE0155">
      <w:pPr>
        <w:pStyle w:val="1"/>
        <w:ind w:firstLineChars="200" w:firstLine="420"/>
        <w:rPr>
          <w:lang w:val="en-US"/>
        </w:rPr>
      </w:pPr>
      <w:r>
        <w:rPr>
          <w:lang w:val="en-US"/>
        </w:rPr>
        <w:t>袋式过滤器：常用于更精细的过滤，能够去除较小的颗粒物，确保水质进一步清洁。</w:t>
      </w:r>
    </w:p>
    <w:p w14:paraId="261A8BC9" w14:textId="77777777" w:rsidR="0014798F" w:rsidRDefault="00FE0155">
      <w:pPr>
        <w:pStyle w:val="1"/>
        <w:ind w:firstLineChars="200" w:firstLine="420"/>
        <w:rPr>
          <w:lang w:val="en-US"/>
        </w:rPr>
      </w:pPr>
      <w:r>
        <w:rPr>
          <w:lang w:val="en-US"/>
        </w:rPr>
        <w:t>离心分离：利用离心力将液体中的固体颗粒分离出来。离心分离器通过高速旋转产生的离心力，将固体颗粒从液体中甩出。此方法对于颗粒较小或密度差异较大的固体具有较好的分离效果。</w:t>
      </w:r>
    </w:p>
    <w:p w14:paraId="261A8BCA" w14:textId="77777777" w:rsidR="0014798F" w:rsidRDefault="00FE0155">
      <w:pPr>
        <w:pStyle w:val="1"/>
        <w:ind w:firstLineChars="200" w:firstLine="420"/>
        <w:rPr>
          <w:lang w:val="en-US"/>
        </w:rPr>
      </w:pPr>
      <w:r>
        <w:rPr>
          <w:rFonts w:hint="eastAsia"/>
          <w:lang w:val="en-US"/>
        </w:rPr>
        <w:t>c</w:t>
      </w:r>
      <w:r>
        <w:rPr>
          <w:rFonts w:hint="eastAsia"/>
          <w:lang w:val="en-US"/>
        </w:rPr>
        <w:t>）</w:t>
      </w:r>
      <w:r>
        <w:rPr>
          <w:lang w:val="en-US"/>
        </w:rPr>
        <w:t>蒸发浓缩</w:t>
      </w:r>
    </w:p>
    <w:p w14:paraId="261A8BCB" w14:textId="77777777" w:rsidR="0014798F" w:rsidRDefault="00FE0155">
      <w:pPr>
        <w:pStyle w:val="1"/>
        <w:ind w:firstLineChars="200" w:firstLine="420"/>
        <w:rPr>
          <w:lang w:val="en-US"/>
        </w:rPr>
      </w:pPr>
      <w:r>
        <w:rPr>
          <w:lang w:val="en-US"/>
        </w:rPr>
        <w:t>蒸发浓缩技术利用热能将返排液中的水分蒸发掉，从而减少液体体积并回收水分。这是一种典型的物理方法，适用于含有高浓度溶解物的返排液。</w:t>
      </w:r>
    </w:p>
    <w:p w14:paraId="261A8BCC" w14:textId="77777777" w:rsidR="0014798F" w:rsidRDefault="00FE0155">
      <w:pPr>
        <w:pStyle w:val="1"/>
        <w:ind w:firstLineChars="200" w:firstLine="420"/>
        <w:rPr>
          <w:lang w:val="en-US"/>
        </w:rPr>
      </w:pPr>
      <w:r>
        <w:rPr>
          <w:lang w:val="en-US"/>
        </w:rPr>
        <w:t>多效蒸发：通过多个蒸发单元和低压操作，能够有效地蒸发水分，并将其中的盐分和其他溶解物浓缩。蒸发后，水蒸气可以冷凝回收为纯净水，而剩余的浓缩废水则可进一步处理或回收利用。</w:t>
      </w:r>
    </w:p>
    <w:p w14:paraId="261A8BCD" w14:textId="77777777" w:rsidR="0014798F" w:rsidRDefault="00FE0155">
      <w:pPr>
        <w:pStyle w:val="1"/>
        <w:ind w:firstLineChars="200" w:firstLine="420"/>
        <w:rPr>
          <w:lang w:val="en-US"/>
        </w:rPr>
      </w:pPr>
      <w:r>
        <w:rPr>
          <w:lang w:val="en-US"/>
        </w:rPr>
        <w:t>闪蒸：闪蒸是一种快速加热液体至其沸点以下的操作，使液体中的水分迅速蒸发出来。该过程适合处理高盐、高浓度废水，能够大幅度减少返排液的体积。</w:t>
      </w:r>
    </w:p>
    <w:p w14:paraId="261A8BCE" w14:textId="77777777" w:rsidR="0014798F" w:rsidRDefault="00FE0155">
      <w:pPr>
        <w:pStyle w:val="1"/>
        <w:ind w:firstLineChars="200" w:firstLine="420"/>
        <w:rPr>
          <w:lang w:val="en-US"/>
        </w:rPr>
      </w:pPr>
      <w:r>
        <w:rPr>
          <w:rFonts w:hint="eastAsia"/>
          <w:lang w:val="en-US"/>
        </w:rPr>
        <w:t>d</w:t>
      </w:r>
      <w:r>
        <w:rPr>
          <w:rFonts w:hint="eastAsia"/>
          <w:lang w:val="en-US"/>
        </w:rPr>
        <w:t>）</w:t>
      </w:r>
      <w:r>
        <w:rPr>
          <w:lang w:val="en-US"/>
        </w:rPr>
        <w:t>气浮分离</w:t>
      </w:r>
    </w:p>
    <w:p w14:paraId="261A8BCF" w14:textId="77777777" w:rsidR="0014798F" w:rsidRDefault="00FE0155">
      <w:pPr>
        <w:pStyle w:val="1"/>
        <w:ind w:firstLineChars="200" w:firstLine="420"/>
        <w:rPr>
          <w:lang w:val="en-US"/>
        </w:rPr>
      </w:pPr>
      <w:r>
        <w:rPr>
          <w:lang w:val="en-US"/>
        </w:rPr>
        <w:t>气浮分离技术利用气泡与水中的悬浮物结合，使其浮上水面，从而实现固体颗粒的去除。气浮通常用于去除水中难以通过沉降去除的胶体物质和微细颗粒。</w:t>
      </w:r>
    </w:p>
    <w:p w14:paraId="261A8BD0" w14:textId="77777777" w:rsidR="0014798F" w:rsidRDefault="00FE0155">
      <w:pPr>
        <w:pStyle w:val="1"/>
        <w:ind w:firstLineChars="200" w:firstLine="420"/>
        <w:rPr>
          <w:lang w:val="en-US"/>
        </w:rPr>
      </w:pPr>
      <w:r>
        <w:rPr>
          <w:lang w:val="en-US"/>
        </w:rPr>
        <w:t>溶气气浮：将空气溶解在水中，通过释放气泡使其与水中的悬浮固体结合，形成较大的团聚物，进而浮出水面。溶气气浮常用于处理含有细微颗粒、油污等复杂成分的水。</w:t>
      </w:r>
    </w:p>
    <w:p w14:paraId="261A8BD1" w14:textId="77777777" w:rsidR="0014798F" w:rsidRDefault="00FE0155">
      <w:pPr>
        <w:pStyle w:val="ab"/>
        <w:spacing w:beforeLines="50" w:before="156" w:afterLines="50" w:after="156"/>
        <w:ind w:firstLineChars="0" w:firstLine="0"/>
        <w:rPr>
          <w:rFonts w:ascii="Times New Roman"/>
          <w:kern w:val="2"/>
          <w:szCs w:val="22"/>
        </w:rPr>
      </w:pPr>
      <w:r>
        <w:rPr>
          <w:rFonts w:ascii="Times New Roman" w:hint="eastAsia"/>
          <w:kern w:val="2"/>
          <w:szCs w:val="22"/>
        </w:rPr>
        <w:t xml:space="preserve">7.2.1.2 </w:t>
      </w:r>
      <w:r>
        <w:rPr>
          <w:rFonts w:ascii="Times New Roman" w:hint="eastAsia"/>
          <w:kern w:val="2"/>
          <w:szCs w:val="22"/>
        </w:rPr>
        <w:t>化学技术处理工艺</w:t>
      </w:r>
    </w:p>
    <w:p w14:paraId="261A8BD2" w14:textId="77777777" w:rsidR="0014798F" w:rsidRDefault="00FE0155">
      <w:pPr>
        <w:pStyle w:val="1"/>
        <w:ind w:firstLineChars="200" w:firstLine="420"/>
        <w:rPr>
          <w:lang w:val="en-US"/>
        </w:rPr>
      </w:pPr>
      <w:r>
        <w:rPr>
          <w:rFonts w:hint="eastAsia"/>
          <w:lang w:val="en-US"/>
        </w:rPr>
        <w:t>a</w:t>
      </w:r>
      <w:r>
        <w:rPr>
          <w:rFonts w:hint="eastAsia"/>
          <w:lang w:val="en-US"/>
        </w:rPr>
        <w:t>）</w:t>
      </w:r>
      <w:r>
        <w:rPr>
          <w:lang w:val="en-US"/>
        </w:rPr>
        <w:t>收集与预处理</w:t>
      </w:r>
    </w:p>
    <w:p w14:paraId="261A8BD3" w14:textId="77777777" w:rsidR="0014798F" w:rsidRDefault="00FE0155">
      <w:pPr>
        <w:pStyle w:val="1"/>
        <w:ind w:firstLineChars="200" w:firstLine="420"/>
        <w:rPr>
          <w:lang w:val="en-US"/>
        </w:rPr>
      </w:pPr>
      <w:r>
        <w:rPr>
          <w:lang w:val="en-US"/>
        </w:rPr>
        <w:t>液体收集：首先，需要将返排液从油气井口收集到储液罐或处理池中。</w:t>
      </w:r>
    </w:p>
    <w:p w14:paraId="261A8BD4" w14:textId="77777777" w:rsidR="0014798F" w:rsidRDefault="00FE0155">
      <w:pPr>
        <w:pStyle w:val="1"/>
        <w:ind w:firstLineChars="200" w:firstLine="420"/>
        <w:rPr>
          <w:lang w:val="en-US"/>
        </w:rPr>
      </w:pPr>
      <w:r>
        <w:rPr>
          <w:lang w:val="en-US"/>
        </w:rPr>
        <w:t>初步过滤：通过过滤或沉降等物理方法去除大颗粒的悬浮物和固体杂质，如砂粒、金属碎片等。</w:t>
      </w:r>
    </w:p>
    <w:p w14:paraId="261A8BD5" w14:textId="77777777" w:rsidR="0014798F" w:rsidRDefault="00FE0155">
      <w:pPr>
        <w:pStyle w:val="1"/>
        <w:ind w:firstLineChars="200" w:firstLine="420"/>
        <w:rPr>
          <w:lang w:val="en-US"/>
        </w:rPr>
      </w:pPr>
      <w:r>
        <w:rPr>
          <w:rFonts w:hint="eastAsia"/>
          <w:lang w:val="en-US"/>
        </w:rPr>
        <w:t>b</w:t>
      </w:r>
      <w:r>
        <w:rPr>
          <w:rFonts w:hint="eastAsia"/>
          <w:lang w:val="en-US"/>
        </w:rPr>
        <w:t>）</w:t>
      </w:r>
      <w:r>
        <w:rPr>
          <w:lang w:val="en-US"/>
        </w:rPr>
        <w:t>pH</w:t>
      </w:r>
      <w:r>
        <w:rPr>
          <w:lang w:val="en-US"/>
        </w:rPr>
        <w:t>调节</w:t>
      </w:r>
    </w:p>
    <w:p w14:paraId="261A8BD6" w14:textId="77777777" w:rsidR="0014798F" w:rsidRDefault="00FE0155">
      <w:pPr>
        <w:pStyle w:val="1"/>
        <w:ind w:firstLineChars="200" w:firstLine="420"/>
        <w:rPr>
          <w:lang w:val="en-US"/>
        </w:rPr>
      </w:pPr>
      <w:r>
        <w:rPr>
          <w:lang w:val="en-US"/>
        </w:rPr>
        <w:t>返排液通常可能具有较高的酸度或碱性，需要进行</w:t>
      </w:r>
      <w:r>
        <w:rPr>
          <w:lang w:val="en-US"/>
        </w:rPr>
        <w:t>pH</w:t>
      </w:r>
      <w:r>
        <w:rPr>
          <w:lang w:val="en-US"/>
        </w:rPr>
        <w:t>调节。此步骤通过添加酸或碱（如硫酸、氢氧化钠等）来调整</w:t>
      </w:r>
      <w:r>
        <w:rPr>
          <w:lang w:val="en-US"/>
        </w:rPr>
        <w:t>pH</w:t>
      </w:r>
      <w:r>
        <w:rPr>
          <w:lang w:val="en-US"/>
        </w:rPr>
        <w:t>值，使之适合后续处理或安全排放。</w:t>
      </w:r>
    </w:p>
    <w:p w14:paraId="261A8BD7" w14:textId="77777777" w:rsidR="0014798F" w:rsidRDefault="00FE0155">
      <w:pPr>
        <w:pStyle w:val="1"/>
        <w:ind w:firstLineChars="200" w:firstLine="420"/>
        <w:rPr>
          <w:lang w:val="en-US"/>
        </w:rPr>
      </w:pPr>
      <w:r>
        <w:rPr>
          <w:rFonts w:hint="eastAsia"/>
          <w:lang w:val="en-US"/>
        </w:rPr>
        <w:t>c</w:t>
      </w:r>
      <w:r>
        <w:rPr>
          <w:rFonts w:hint="eastAsia"/>
          <w:lang w:val="en-US"/>
        </w:rPr>
        <w:t>）</w:t>
      </w:r>
      <w:r>
        <w:rPr>
          <w:lang w:val="en-US"/>
        </w:rPr>
        <w:t>脱气与气体分离</w:t>
      </w:r>
    </w:p>
    <w:p w14:paraId="261A8BD8" w14:textId="77777777" w:rsidR="0014798F" w:rsidRDefault="00FE0155">
      <w:pPr>
        <w:pStyle w:val="1"/>
        <w:ind w:firstLineChars="200" w:firstLine="420"/>
        <w:rPr>
          <w:lang w:val="en-US"/>
        </w:rPr>
      </w:pPr>
      <w:r>
        <w:rPr>
          <w:lang w:val="en-US"/>
        </w:rPr>
        <w:t>返排液中可能含有溶解的气体，如二氧化碳（</w:t>
      </w:r>
      <w:r>
        <w:rPr>
          <w:lang w:val="en-US"/>
        </w:rPr>
        <w:t>CO₂</w:t>
      </w:r>
      <w:r>
        <w:rPr>
          <w:lang w:val="en-US"/>
        </w:rPr>
        <w:t>）或甲烷等，这些气体需要在处理过程中分离出来。常见的方法包括气体分离塔或使用气体脱除剂。</w:t>
      </w:r>
    </w:p>
    <w:p w14:paraId="261A8BD9" w14:textId="77777777" w:rsidR="0014798F" w:rsidRDefault="00FE0155">
      <w:pPr>
        <w:pStyle w:val="1"/>
        <w:ind w:firstLineChars="200" w:firstLine="420"/>
        <w:rPr>
          <w:lang w:val="en-US"/>
        </w:rPr>
      </w:pPr>
      <w:r>
        <w:rPr>
          <w:rFonts w:hint="eastAsia"/>
          <w:lang w:val="en-US"/>
        </w:rPr>
        <w:t>d</w:t>
      </w:r>
      <w:r>
        <w:rPr>
          <w:rFonts w:hint="eastAsia"/>
          <w:lang w:val="en-US"/>
        </w:rPr>
        <w:t>）</w:t>
      </w:r>
      <w:r>
        <w:rPr>
          <w:lang w:val="en-US"/>
        </w:rPr>
        <w:t>化学添加剂降解</w:t>
      </w:r>
    </w:p>
    <w:p w14:paraId="261A8BDA" w14:textId="77777777" w:rsidR="0014798F" w:rsidRDefault="00FE0155">
      <w:pPr>
        <w:pStyle w:val="1"/>
        <w:ind w:firstLineChars="200" w:firstLine="420"/>
        <w:rPr>
          <w:lang w:val="en-US"/>
        </w:rPr>
      </w:pPr>
      <w:r>
        <w:rPr>
          <w:lang w:val="en-US"/>
        </w:rPr>
        <w:t>破胶剂和降粘剂：水力压裂液中通常使用高分子聚合物（如聚丙烯酰胺）来提高流体的黏度，帮助裂缝的延伸。返排液中的这些聚合物需要通过加入破胶剂（如过氧化氢、氧化剂等）降解，</w:t>
      </w:r>
      <w:r>
        <w:rPr>
          <w:lang w:val="en-US"/>
        </w:rPr>
        <w:lastRenderedPageBreak/>
        <w:t>减少对环境的影响。</w:t>
      </w:r>
    </w:p>
    <w:p w14:paraId="261A8BDB" w14:textId="77777777" w:rsidR="0014798F" w:rsidRDefault="00FE0155">
      <w:pPr>
        <w:pStyle w:val="1"/>
        <w:ind w:firstLineChars="200" w:firstLine="420"/>
        <w:rPr>
          <w:lang w:val="en-US"/>
        </w:rPr>
      </w:pPr>
      <w:r>
        <w:rPr>
          <w:lang w:val="en-US"/>
        </w:rPr>
        <w:t>交联破坏：有时需要通过破坏交联结构来降低高分子物质的粘度，这样返排液就可以更容易地被处理和分解。</w:t>
      </w:r>
    </w:p>
    <w:p w14:paraId="261A8BDC" w14:textId="77777777" w:rsidR="0014798F" w:rsidRDefault="00FE0155">
      <w:pPr>
        <w:pStyle w:val="1"/>
        <w:ind w:firstLineChars="200" w:firstLine="420"/>
        <w:rPr>
          <w:lang w:val="en-US"/>
        </w:rPr>
      </w:pPr>
      <w:r>
        <w:rPr>
          <w:rFonts w:hint="eastAsia"/>
          <w:lang w:val="en-US"/>
        </w:rPr>
        <w:t>e</w:t>
      </w:r>
      <w:r>
        <w:rPr>
          <w:rFonts w:hint="eastAsia"/>
          <w:lang w:val="en-US"/>
        </w:rPr>
        <w:t>）</w:t>
      </w:r>
      <w:r>
        <w:rPr>
          <w:lang w:val="en-US"/>
        </w:rPr>
        <w:t>油水分离</w:t>
      </w:r>
    </w:p>
    <w:p w14:paraId="261A8BDD" w14:textId="77777777" w:rsidR="0014798F" w:rsidRDefault="00FE0155">
      <w:pPr>
        <w:pStyle w:val="1"/>
        <w:ind w:firstLineChars="200" w:firstLine="420"/>
        <w:rPr>
          <w:lang w:val="en-US"/>
        </w:rPr>
      </w:pPr>
      <w:r>
        <w:rPr>
          <w:lang w:val="en-US"/>
        </w:rPr>
        <w:t>返排液中可能会含有一定量的油气成分或烃类物质。为了分离水和油，可以通过添加乳化破坏剂或溶剂来分解乳化的油水，进行油水分离。常见的药剂有表面活性剂、溶剂等。</w:t>
      </w:r>
    </w:p>
    <w:p w14:paraId="261A8BDE" w14:textId="77777777" w:rsidR="0014798F" w:rsidRDefault="00FE0155">
      <w:pPr>
        <w:pStyle w:val="1"/>
        <w:ind w:firstLineChars="200" w:firstLine="420"/>
        <w:rPr>
          <w:lang w:val="en-US"/>
        </w:rPr>
      </w:pPr>
      <w:r>
        <w:rPr>
          <w:rFonts w:hint="eastAsia"/>
          <w:lang w:val="en-US"/>
        </w:rPr>
        <w:t>f</w:t>
      </w:r>
      <w:r>
        <w:rPr>
          <w:rFonts w:hint="eastAsia"/>
          <w:lang w:val="en-US"/>
        </w:rPr>
        <w:t>）</w:t>
      </w:r>
      <w:r>
        <w:rPr>
          <w:lang w:val="en-US"/>
        </w:rPr>
        <w:t>沉淀物去除</w:t>
      </w:r>
    </w:p>
    <w:p w14:paraId="261A8BDF" w14:textId="77777777" w:rsidR="0014798F" w:rsidRDefault="00FE0155">
      <w:pPr>
        <w:pStyle w:val="1"/>
        <w:ind w:firstLineChars="200" w:firstLine="420"/>
        <w:rPr>
          <w:lang w:val="en-US"/>
        </w:rPr>
      </w:pPr>
      <w:r>
        <w:rPr>
          <w:lang w:val="en-US"/>
        </w:rPr>
        <w:t>在返排液中，可能有一些无机沉淀物如盐类、泥浆等，需要通过加入絮凝剂（如聚合氯化铝、聚丙烯酰胺等）使其沉淀，随后通过离心或沉降的方法去除。</w:t>
      </w:r>
    </w:p>
    <w:p w14:paraId="261A8BE0" w14:textId="77777777" w:rsidR="0014798F" w:rsidRDefault="00FE0155">
      <w:pPr>
        <w:pStyle w:val="ab"/>
        <w:spacing w:line="300" w:lineRule="auto"/>
        <w:ind w:firstLineChars="0" w:firstLine="0"/>
        <w:rPr>
          <w:rStyle w:val="a9"/>
          <w:rFonts w:ascii="Times New Roman"/>
          <w:kern w:val="2"/>
        </w:rPr>
      </w:pPr>
      <w:r>
        <w:rPr>
          <w:rFonts w:ascii="Times New Roman" w:hint="eastAsia"/>
          <w:kern w:val="2"/>
          <w:szCs w:val="22"/>
        </w:rPr>
        <w:t xml:space="preserve">7.2.2 </w:t>
      </w:r>
      <w:r>
        <w:rPr>
          <w:rFonts w:ascii="Times New Roman" w:hint="eastAsia"/>
          <w:kern w:val="2"/>
          <w:szCs w:val="22"/>
        </w:rPr>
        <w:t>含油污水处理技术</w:t>
      </w:r>
    </w:p>
    <w:p w14:paraId="261A8BE1" w14:textId="77777777" w:rsidR="0014798F" w:rsidRDefault="00FE0155">
      <w:pPr>
        <w:pStyle w:val="1"/>
        <w:ind w:firstLineChars="200" w:firstLine="420"/>
      </w:pPr>
      <w:r>
        <w:rPr>
          <w:rFonts w:hint="eastAsia"/>
        </w:rPr>
        <w:t>根据</w:t>
      </w:r>
      <w:r>
        <w:rPr>
          <w:rFonts w:hint="eastAsia"/>
        </w:rPr>
        <w:t>HJ2041-2014</w:t>
      </w:r>
      <w:r>
        <w:rPr>
          <w:rFonts w:hint="eastAsia"/>
        </w:rPr>
        <w:t>相关规定，含油污水处理一般采用建设含油污水处理厂进行处理。采油废水预处理包括冷却、隔油、调节、混凝</w:t>
      </w:r>
      <w:r>
        <w:rPr>
          <w:rFonts w:hint="eastAsia"/>
        </w:rPr>
        <w:t>/</w:t>
      </w:r>
      <w:r>
        <w:rPr>
          <w:rFonts w:hint="eastAsia"/>
        </w:rPr>
        <w:t>（气浮）沉淀等处理单元，处理单元的取舍与组合应根据采油废水的水质特性和设施建设要求确定。采油废水厌氧生物处理宜选用水解酸化法，也可选用厌氧生化池</w:t>
      </w:r>
      <w:r>
        <w:rPr>
          <w:rFonts w:hint="eastAsia"/>
        </w:rPr>
        <w:t>;</w:t>
      </w:r>
      <w:r>
        <w:rPr>
          <w:rFonts w:hint="eastAsia"/>
        </w:rPr>
        <w:t>好氧生物处理宜选用生物接触氧化法、传统活性污泥法或膜生物反应器</w:t>
      </w:r>
      <w:r>
        <w:rPr>
          <w:rFonts w:hint="eastAsia"/>
        </w:rPr>
        <w:t>(MBR)</w:t>
      </w:r>
      <w:r>
        <w:rPr>
          <w:rFonts w:hint="eastAsia"/>
        </w:rPr>
        <w:t>等。采油废水生化后处理宜选用微絮凝</w:t>
      </w:r>
      <w:r>
        <w:rPr>
          <w:rFonts w:hint="eastAsia"/>
        </w:rPr>
        <w:t>-</w:t>
      </w:r>
      <w:r>
        <w:rPr>
          <w:rFonts w:hint="eastAsia"/>
        </w:rPr>
        <w:t>过滤、化学氧化等处理工艺。采油废水处理效率应通过试验确定，各处理单元污染物去除效率可参考</w:t>
      </w:r>
      <w:r>
        <w:rPr>
          <w:rFonts w:hint="eastAsia"/>
        </w:rPr>
        <w:t>HJ2041-2014</w:t>
      </w:r>
      <w:r>
        <w:rPr>
          <w:rFonts w:hint="eastAsia"/>
        </w:rPr>
        <w:t>确定。具体工艺技术流程详见图</w:t>
      </w:r>
      <w:r>
        <w:rPr>
          <w:rFonts w:hint="eastAsia"/>
          <w:lang w:val="en-US"/>
        </w:rPr>
        <w:t>7-1</w:t>
      </w:r>
      <w:r>
        <w:rPr>
          <w:rFonts w:hint="eastAsia"/>
        </w:rPr>
        <w:t>。</w:t>
      </w:r>
    </w:p>
    <w:p w14:paraId="261A8BE2" w14:textId="77777777" w:rsidR="0014798F" w:rsidRDefault="00FE0155">
      <w:pPr>
        <w:pStyle w:val="ab"/>
        <w:spacing w:line="300" w:lineRule="auto"/>
        <w:ind w:firstLineChars="0" w:firstLine="0"/>
        <w:jc w:val="center"/>
      </w:pPr>
      <w:r>
        <w:rPr>
          <w:noProof/>
        </w:rPr>
        <w:drawing>
          <wp:inline distT="0" distB="0" distL="114300" distR="114300" wp14:anchorId="261A8C69" wp14:editId="261A8C6A">
            <wp:extent cx="5573395" cy="369570"/>
            <wp:effectExtent l="0" t="0" r="8255" b="1143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7"/>
                    <a:stretch>
                      <a:fillRect/>
                    </a:stretch>
                  </pic:blipFill>
                  <pic:spPr>
                    <a:xfrm>
                      <a:off x="0" y="0"/>
                      <a:ext cx="5573395" cy="369570"/>
                    </a:xfrm>
                    <a:prstGeom prst="rect">
                      <a:avLst/>
                    </a:prstGeom>
                    <a:noFill/>
                    <a:ln>
                      <a:noFill/>
                    </a:ln>
                  </pic:spPr>
                </pic:pic>
              </a:graphicData>
            </a:graphic>
          </wp:inline>
        </w:drawing>
      </w:r>
      <w:r>
        <w:rPr>
          <w:rFonts w:hint="eastAsia"/>
        </w:rPr>
        <w:t>图</w:t>
      </w:r>
      <w:r>
        <w:rPr>
          <w:rFonts w:hint="eastAsia"/>
        </w:rPr>
        <w:t xml:space="preserve">7-1 </w:t>
      </w:r>
      <w:r>
        <w:rPr>
          <w:rFonts w:hint="eastAsia"/>
        </w:rPr>
        <w:t>采油废水处理工艺流程图</w:t>
      </w:r>
    </w:p>
    <w:p w14:paraId="261A8BE3" w14:textId="77777777" w:rsidR="0014798F" w:rsidRDefault="00FE0155">
      <w:pPr>
        <w:pStyle w:val="ab"/>
        <w:spacing w:line="300" w:lineRule="auto"/>
        <w:ind w:firstLineChars="0" w:firstLine="0"/>
        <w:rPr>
          <w:rFonts w:ascii="Times New Roman"/>
          <w:kern w:val="2"/>
          <w:szCs w:val="22"/>
        </w:rPr>
      </w:pPr>
      <w:r>
        <w:rPr>
          <w:rFonts w:ascii="Times New Roman" w:hint="eastAsia"/>
          <w:kern w:val="2"/>
          <w:szCs w:val="22"/>
        </w:rPr>
        <w:t xml:space="preserve">7.2.2.1 </w:t>
      </w:r>
      <w:r>
        <w:rPr>
          <w:rFonts w:ascii="Times New Roman" w:hint="eastAsia"/>
          <w:kern w:val="2"/>
          <w:szCs w:val="22"/>
        </w:rPr>
        <w:t>冷却处理</w:t>
      </w:r>
    </w:p>
    <w:p w14:paraId="261A8BE4" w14:textId="77777777" w:rsidR="0014798F" w:rsidRDefault="00FE0155">
      <w:pPr>
        <w:pStyle w:val="1"/>
        <w:ind w:firstLineChars="200" w:firstLine="420"/>
      </w:pPr>
      <w:r>
        <w:rPr>
          <w:rFonts w:hint="eastAsia"/>
        </w:rPr>
        <w:t>a</w:t>
      </w:r>
      <w:r>
        <w:rPr>
          <w:rFonts w:hint="eastAsia"/>
        </w:rPr>
        <w:t>）水温较高的采油废水应设置冷却处理装置，并设置实时监控</w:t>
      </w:r>
      <w:r>
        <w:rPr>
          <w:rFonts w:hint="eastAsia"/>
        </w:rPr>
        <w:t>;</w:t>
      </w:r>
    </w:p>
    <w:p w14:paraId="261A8BE5" w14:textId="77777777" w:rsidR="0014798F" w:rsidRDefault="00FE0155">
      <w:pPr>
        <w:pStyle w:val="1"/>
        <w:ind w:firstLineChars="200" w:firstLine="420"/>
      </w:pPr>
      <w:r>
        <w:rPr>
          <w:rFonts w:hint="eastAsia"/>
        </w:rPr>
        <w:t>b</w:t>
      </w:r>
      <w:r>
        <w:rPr>
          <w:rFonts w:hint="eastAsia"/>
        </w:rPr>
        <w:t>）冷却处理装置宜采用换热降温和冷却塔降温等方式。</w:t>
      </w:r>
    </w:p>
    <w:p w14:paraId="261A8BE6" w14:textId="77777777" w:rsidR="0014798F" w:rsidRDefault="00FE0155">
      <w:pPr>
        <w:pStyle w:val="ab"/>
        <w:spacing w:line="300" w:lineRule="auto"/>
        <w:ind w:firstLineChars="0" w:firstLine="0"/>
        <w:rPr>
          <w:rFonts w:ascii="Times New Roman"/>
          <w:kern w:val="2"/>
          <w:szCs w:val="22"/>
        </w:rPr>
      </w:pPr>
      <w:r>
        <w:rPr>
          <w:rFonts w:ascii="Times New Roman" w:hint="eastAsia"/>
          <w:kern w:val="2"/>
          <w:szCs w:val="22"/>
        </w:rPr>
        <w:t xml:space="preserve">7.2.2.2 </w:t>
      </w:r>
      <w:r>
        <w:rPr>
          <w:rFonts w:ascii="Times New Roman" w:hint="eastAsia"/>
          <w:kern w:val="2"/>
          <w:szCs w:val="22"/>
        </w:rPr>
        <w:t>隔油处理</w:t>
      </w:r>
    </w:p>
    <w:p w14:paraId="261A8BE7" w14:textId="77777777" w:rsidR="0014798F" w:rsidRDefault="00FE0155">
      <w:pPr>
        <w:pStyle w:val="ab"/>
        <w:spacing w:line="276" w:lineRule="auto"/>
        <w:rPr>
          <w:rFonts w:ascii="Times New Roman"/>
          <w:kern w:val="2"/>
          <w:szCs w:val="22"/>
        </w:rPr>
      </w:pPr>
      <w:r>
        <w:rPr>
          <w:rFonts w:ascii="Times New Roman" w:hint="eastAsia"/>
          <w:kern w:val="2"/>
          <w:szCs w:val="22"/>
        </w:rPr>
        <w:t>隔油池（罐）的设计应满足以下技术条件和要求</w:t>
      </w:r>
      <w:r>
        <w:rPr>
          <w:rFonts w:ascii="Times New Roman" w:hint="eastAsia"/>
          <w:kern w:val="2"/>
          <w:szCs w:val="22"/>
        </w:rPr>
        <w:t>:</w:t>
      </w:r>
    </w:p>
    <w:p w14:paraId="261A8BE8" w14:textId="77777777" w:rsidR="0014798F" w:rsidRDefault="00FE0155">
      <w:pPr>
        <w:pStyle w:val="ab"/>
        <w:spacing w:line="276" w:lineRule="auto"/>
        <w:rPr>
          <w:rFonts w:ascii="Times New Roman"/>
          <w:kern w:val="2"/>
          <w:szCs w:val="22"/>
        </w:rPr>
      </w:pPr>
      <w:r>
        <w:rPr>
          <w:rFonts w:ascii="Times New Roman" w:hint="eastAsia"/>
          <w:kern w:val="2"/>
          <w:szCs w:val="22"/>
        </w:rPr>
        <w:t>a</w:t>
      </w:r>
      <w:r>
        <w:rPr>
          <w:rFonts w:ascii="Times New Roman" w:hint="eastAsia"/>
          <w:kern w:val="2"/>
          <w:szCs w:val="22"/>
        </w:rPr>
        <w:t>）隔油池（罐）的有效容积应根据水质、水量变化情况确定，有效停留时间宜取</w:t>
      </w:r>
      <w:r>
        <w:rPr>
          <w:rFonts w:ascii="Times New Roman" w:hint="eastAsia"/>
          <w:kern w:val="2"/>
          <w:szCs w:val="22"/>
        </w:rPr>
        <w:t>2h</w:t>
      </w:r>
      <w:r>
        <w:rPr>
          <w:rFonts w:ascii="Times New Roman" w:hint="eastAsia"/>
          <w:kern w:val="2"/>
          <w:szCs w:val="22"/>
        </w:rPr>
        <w:t>～</w:t>
      </w:r>
      <w:r>
        <w:rPr>
          <w:rFonts w:ascii="Times New Roman" w:hint="eastAsia"/>
          <w:kern w:val="2"/>
          <w:szCs w:val="22"/>
        </w:rPr>
        <w:t>8h;</w:t>
      </w:r>
    </w:p>
    <w:p w14:paraId="261A8BE9" w14:textId="77777777" w:rsidR="0014798F" w:rsidRDefault="00FE0155">
      <w:pPr>
        <w:pStyle w:val="ab"/>
        <w:spacing w:line="276" w:lineRule="auto"/>
        <w:rPr>
          <w:rFonts w:ascii="Times New Roman"/>
          <w:kern w:val="2"/>
          <w:szCs w:val="22"/>
        </w:rPr>
      </w:pPr>
      <w:r>
        <w:rPr>
          <w:rFonts w:ascii="Times New Roman" w:hint="eastAsia"/>
          <w:kern w:val="2"/>
          <w:szCs w:val="22"/>
        </w:rPr>
        <w:t>b</w:t>
      </w:r>
      <w:r>
        <w:rPr>
          <w:rFonts w:ascii="Times New Roman" w:hint="eastAsia"/>
          <w:kern w:val="2"/>
          <w:szCs w:val="22"/>
        </w:rPr>
        <w:t>）隔油池（罐）应设计为封闭式，应设有通排风设施及对高温采油废水逸散气体的处理设施</w:t>
      </w:r>
      <w:r>
        <w:rPr>
          <w:rFonts w:ascii="Times New Roman" w:hint="eastAsia"/>
          <w:kern w:val="2"/>
          <w:szCs w:val="22"/>
        </w:rPr>
        <w:t>;</w:t>
      </w:r>
    </w:p>
    <w:p w14:paraId="261A8BEA" w14:textId="77777777" w:rsidR="0014798F" w:rsidRDefault="00FE0155">
      <w:pPr>
        <w:pStyle w:val="ab"/>
        <w:spacing w:line="276" w:lineRule="auto"/>
        <w:rPr>
          <w:rFonts w:ascii="Times New Roman"/>
          <w:kern w:val="2"/>
          <w:szCs w:val="22"/>
        </w:rPr>
      </w:pPr>
      <w:r>
        <w:rPr>
          <w:rFonts w:ascii="Times New Roman" w:hint="eastAsia"/>
          <w:kern w:val="2"/>
          <w:szCs w:val="22"/>
        </w:rPr>
        <w:t>c</w:t>
      </w:r>
      <w:r>
        <w:rPr>
          <w:rFonts w:ascii="Times New Roman" w:hint="eastAsia"/>
          <w:kern w:val="2"/>
          <w:szCs w:val="22"/>
        </w:rPr>
        <w:t>）隔油池（罐）应设置原油回收和底部排泥装置。</w:t>
      </w:r>
    </w:p>
    <w:p w14:paraId="261A8BEB" w14:textId="77777777" w:rsidR="0014798F" w:rsidRDefault="00FE0155">
      <w:pPr>
        <w:pStyle w:val="ab"/>
        <w:autoSpaceDE/>
        <w:autoSpaceDN/>
        <w:spacing w:line="276" w:lineRule="auto"/>
        <w:ind w:firstLineChars="0" w:firstLine="0"/>
        <w:rPr>
          <w:rFonts w:ascii="Times New Roman"/>
          <w:kern w:val="2"/>
          <w:szCs w:val="22"/>
        </w:rPr>
      </w:pPr>
      <w:r>
        <w:rPr>
          <w:rFonts w:ascii="Times New Roman" w:hint="eastAsia"/>
          <w:kern w:val="2"/>
          <w:szCs w:val="22"/>
        </w:rPr>
        <w:t xml:space="preserve">7.2.2.3 </w:t>
      </w:r>
      <w:r>
        <w:rPr>
          <w:rFonts w:ascii="Times New Roman" w:hint="eastAsia"/>
          <w:kern w:val="2"/>
          <w:szCs w:val="22"/>
        </w:rPr>
        <w:t>废水调节处理</w:t>
      </w:r>
    </w:p>
    <w:p w14:paraId="261A8BEC"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a</w:t>
      </w:r>
      <w:r>
        <w:rPr>
          <w:rFonts w:ascii="Times New Roman" w:hint="eastAsia"/>
          <w:kern w:val="2"/>
          <w:szCs w:val="22"/>
        </w:rPr>
        <w:t>）采油废水水质、水量变化较大，生化处理单元抗冲击负荷能力较弱时，应设置调节池。废水调节池的设计应满足以下技术条件和要求</w:t>
      </w:r>
      <w:r>
        <w:rPr>
          <w:rFonts w:ascii="Times New Roman" w:hint="eastAsia"/>
          <w:kern w:val="2"/>
          <w:szCs w:val="22"/>
        </w:rPr>
        <w:t>:</w:t>
      </w:r>
    </w:p>
    <w:p w14:paraId="261A8BED"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采油废水调节池应具备均质、均量、调节</w:t>
      </w:r>
      <w:r>
        <w:rPr>
          <w:rFonts w:ascii="Times New Roman" w:hint="eastAsia"/>
          <w:kern w:val="2"/>
          <w:szCs w:val="22"/>
        </w:rPr>
        <w:t>pH</w:t>
      </w:r>
      <w:r>
        <w:rPr>
          <w:rFonts w:ascii="Times New Roman" w:hint="eastAsia"/>
          <w:kern w:val="2"/>
          <w:szCs w:val="22"/>
        </w:rPr>
        <w:t>、防止沉淀、补加营养盐等功能</w:t>
      </w:r>
      <w:r>
        <w:rPr>
          <w:rFonts w:ascii="Times New Roman" w:hint="eastAsia"/>
          <w:kern w:val="2"/>
          <w:szCs w:val="22"/>
        </w:rPr>
        <w:t>;</w:t>
      </w:r>
    </w:p>
    <w:p w14:paraId="261A8BEE"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b</w:t>
      </w:r>
      <w:r>
        <w:rPr>
          <w:rFonts w:ascii="Times New Roman" w:hint="eastAsia"/>
          <w:kern w:val="2"/>
          <w:szCs w:val="22"/>
        </w:rPr>
        <w:t>）调节池的水力停留时间宜取</w:t>
      </w:r>
      <w:r>
        <w:rPr>
          <w:rFonts w:ascii="Times New Roman" w:hint="eastAsia"/>
          <w:kern w:val="2"/>
          <w:szCs w:val="22"/>
        </w:rPr>
        <w:t>10h-24h;</w:t>
      </w:r>
    </w:p>
    <w:p w14:paraId="261A8BEF"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c</w:t>
      </w:r>
      <w:r>
        <w:rPr>
          <w:rFonts w:ascii="Times New Roman" w:hint="eastAsia"/>
          <w:kern w:val="2"/>
          <w:szCs w:val="22"/>
        </w:rPr>
        <w:t>）废水调节池应设置去除浮渣和污泥的装置</w:t>
      </w:r>
      <w:r>
        <w:rPr>
          <w:rFonts w:ascii="Times New Roman" w:hint="eastAsia"/>
          <w:kern w:val="2"/>
          <w:szCs w:val="22"/>
        </w:rPr>
        <w:t>;</w:t>
      </w:r>
    </w:p>
    <w:p w14:paraId="261A8BF0"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d</w:t>
      </w:r>
      <w:r>
        <w:rPr>
          <w:rFonts w:ascii="Times New Roman" w:hint="eastAsia"/>
          <w:kern w:val="2"/>
          <w:szCs w:val="22"/>
        </w:rPr>
        <w:t>）调节池内应设置水力混合或机械搅拌装置。采用空气搅拌时</w:t>
      </w:r>
      <w:r>
        <w:rPr>
          <w:rFonts w:ascii="Times New Roman" w:hint="eastAsia"/>
          <w:kern w:val="2"/>
          <w:szCs w:val="22"/>
        </w:rPr>
        <w:t>,</w:t>
      </w:r>
      <w:r>
        <w:rPr>
          <w:rFonts w:ascii="Times New Roman" w:hint="eastAsia"/>
          <w:kern w:val="2"/>
          <w:szCs w:val="22"/>
        </w:rPr>
        <w:t>宜按曝气强度计</w:t>
      </w:r>
      <w:r>
        <w:rPr>
          <w:rFonts w:ascii="Times New Roman" w:hint="eastAsia"/>
          <w:kern w:val="2"/>
          <w:szCs w:val="22"/>
        </w:rPr>
        <w:t>,</w:t>
      </w:r>
      <w:r>
        <w:rPr>
          <w:rFonts w:ascii="Times New Roman" w:hint="eastAsia"/>
          <w:kern w:val="2"/>
          <w:szCs w:val="22"/>
        </w:rPr>
        <w:t>取</w:t>
      </w:r>
      <w:r>
        <w:rPr>
          <w:rFonts w:ascii="Times New Roman" w:hint="eastAsia"/>
          <w:kern w:val="2"/>
          <w:szCs w:val="22"/>
        </w:rPr>
        <w:t xml:space="preserve"> 3 m</w:t>
      </w:r>
      <w:r>
        <w:rPr>
          <w:rFonts w:ascii="Times New Roman" w:hint="eastAsia"/>
          <w:kern w:val="2"/>
          <w:szCs w:val="22"/>
          <w:vertAlign w:val="superscript"/>
        </w:rPr>
        <w:t>3</w:t>
      </w:r>
      <w:r>
        <w:rPr>
          <w:rFonts w:ascii="Times New Roman" w:hint="eastAsia"/>
          <w:kern w:val="2"/>
          <w:szCs w:val="22"/>
        </w:rPr>
        <w:t>/(m</w:t>
      </w:r>
      <w:r>
        <w:rPr>
          <w:rFonts w:ascii="Times New Roman" w:hint="eastAsia"/>
          <w:kern w:val="2"/>
          <w:szCs w:val="22"/>
          <w:vertAlign w:val="superscript"/>
        </w:rPr>
        <w:t>2</w:t>
      </w:r>
      <w:r>
        <w:rPr>
          <w:rFonts w:ascii="Times New Roman" w:hint="eastAsia"/>
          <w:kern w:val="2"/>
          <w:szCs w:val="22"/>
        </w:rPr>
        <w:t>.h)</w:t>
      </w:r>
      <w:r>
        <w:rPr>
          <w:rFonts w:ascii="Times New Roman" w:hint="eastAsia"/>
          <w:kern w:val="2"/>
          <w:szCs w:val="22"/>
        </w:rPr>
        <w:t>～</w:t>
      </w:r>
      <w:r>
        <w:rPr>
          <w:rFonts w:ascii="Times New Roman" w:hint="eastAsia"/>
          <w:kern w:val="2"/>
          <w:szCs w:val="22"/>
        </w:rPr>
        <w:t>4.5 m</w:t>
      </w:r>
      <w:r>
        <w:rPr>
          <w:rFonts w:ascii="Times New Roman" w:hint="eastAsia"/>
          <w:kern w:val="2"/>
          <w:szCs w:val="22"/>
          <w:vertAlign w:val="superscript"/>
        </w:rPr>
        <w:t>3</w:t>
      </w:r>
      <w:r>
        <w:rPr>
          <w:rFonts w:ascii="Times New Roman" w:hint="eastAsia"/>
          <w:kern w:val="2"/>
          <w:szCs w:val="22"/>
        </w:rPr>
        <w:t>/(m</w:t>
      </w:r>
      <w:r>
        <w:rPr>
          <w:rFonts w:ascii="Times New Roman" w:hint="eastAsia"/>
          <w:kern w:val="2"/>
          <w:szCs w:val="22"/>
          <w:vertAlign w:val="superscript"/>
        </w:rPr>
        <w:t>2</w:t>
      </w:r>
      <w:r>
        <w:rPr>
          <w:rFonts w:ascii="Times New Roman" w:hint="eastAsia"/>
          <w:kern w:val="2"/>
          <w:szCs w:val="22"/>
        </w:rPr>
        <w:t>.h);</w:t>
      </w:r>
      <w:r>
        <w:rPr>
          <w:rFonts w:ascii="Times New Roman" w:hint="eastAsia"/>
          <w:kern w:val="2"/>
          <w:szCs w:val="22"/>
        </w:rPr>
        <w:t>采用机械搅拌时，功率宜采用</w:t>
      </w:r>
      <w:r>
        <w:rPr>
          <w:rFonts w:ascii="Times New Roman" w:hint="eastAsia"/>
          <w:kern w:val="2"/>
          <w:szCs w:val="22"/>
        </w:rPr>
        <w:t>4 W/m</w:t>
      </w:r>
      <w:r>
        <w:rPr>
          <w:rFonts w:ascii="Times New Roman" w:hint="eastAsia"/>
          <w:kern w:val="2"/>
          <w:szCs w:val="22"/>
          <w:vertAlign w:val="superscript"/>
        </w:rPr>
        <w:t>3</w:t>
      </w:r>
      <w:r>
        <w:rPr>
          <w:rFonts w:ascii="Times New Roman" w:hint="eastAsia"/>
          <w:kern w:val="2"/>
          <w:szCs w:val="22"/>
        </w:rPr>
        <w:t>～</w:t>
      </w:r>
      <w:r>
        <w:rPr>
          <w:rFonts w:ascii="Times New Roman" w:hint="eastAsia"/>
          <w:kern w:val="2"/>
          <w:szCs w:val="22"/>
        </w:rPr>
        <w:t>8 W/m</w:t>
      </w:r>
      <w:r>
        <w:rPr>
          <w:rFonts w:ascii="Times New Roman" w:hint="eastAsia"/>
          <w:kern w:val="2"/>
          <w:szCs w:val="22"/>
          <w:vertAlign w:val="superscript"/>
        </w:rPr>
        <w:t>3</w:t>
      </w:r>
      <w:r>
        <w:rPr>
          <w:rFonts w:ascii="Times New Roman" w:hint="eastAsia"/>
          <w:kern w:val="2"/>
          <w:szCs w:val="22"/>
        </w:rPr>
        <w:t>。</w:t>
      </w:r>
    </w:p>
    <w:p w14:paraId="261A8BF1" w14:textId="77777777" w:rsidR="0014798F" w:rsidRDefault="00FE0155">
      <w:pPr>
        <w:pStyle w:val="ab"/>
        <w:autoSpaceDE/>
        <w:autoSpaceDN/>
        <w:spacing w:line="300" w:lineRule="auto"/>
        <w:ind w:firstLineChars="0" w:firstLine="0"/>
        <w:rPr>
          <w:rFonts w:ascii="Times New Roman"/>
          <w:kern w:val="2"/>
          <w:szCs w:val="22"/>
        </w:rPr>
      </w:pPr>
      <w:r>
        <w:rPr>
          <w:rFonts w:ascii="Times New Roman" w:hint="eastAsia"/>
          <w:kern w:val="2"/>
          <w:szCs w:val="22"/>
        </w:rPr>
        <w:t xml:space="preserve">7.2.2.4 </w:t>
      </w:r>
      <w:r>
        <w:rPr>
          <w:rFonts w:ascii="Times New Roman" w:hint="eastAsia"/>
          <w:kern w:val="2"/>
          <w:szCs w:val="22"/>
        </w:rPr>
        <w:t>混凝</w:t>
      </w:r>
      <w:r>
        <w:rPr>
          <w:rFonts w:ascii="Times New Roman" w:hint="eastAsia"/>
          <w:kern w:val="2"/>
          <w:szCs w:val="22"/>
        </w:rPr>
        <w:t>-</w:t>
      </w:r>
      <w:r>
        <w:rPr>
          <w:rFonts w:ascii="Times New Roman" w:hint="eastAsia"/>
          <w:kern w:val="2"/>
          <w:szCs w:val="22"/>
        </w:rPr>
        <w:t>沉淀</w:t>
      </w:r>
      <w:r>
        <w:rPr>
          <w:rFonts w:ascii="Times New Roman" w:hint="eastAsia"/>
          <w:kern w:val="2"/>
          <w:szCs w:val="22"/>
        </w:rPr>
        <w:t>/</w:t>
      </w:r>
      <w:r>
        <w:rPr>
          <w:rFonts w:ascii="Times New Roman" w:hint="eastAsia"/>
          <w:kern w:val="2"/>
          <w:szCs w:val="22"/>
        </w:rPr>
        <w:t>气浮处理</w:t>
      </w:r>
    </w:p>
    <w:p w14:paraId="261A8BF2"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采油废水中含聚合物或为油水密度差较小的稠油废水时，宜采用“混凝</w:t>
      </w:r>
      <w:r>
        <w:rPr>
          <w:rFonts w:ascii="Times New Roman" w:hint="eastAsia"/>
          <w:kern w:val="2"/>
          <w:szCs w:val="22"/>
        </w:rPr>
        <w:t>-</w:t>
      </w:r>
      <w:r>
        <w:rPr>
          <w:rFonts w:ascii="Times New Roman" w:hint="eastAsia"/>
          <w:kern w:val="2"/>
          <w:szCs w:val="22"/>
        </w:rPr>
        <w:t>沉淀</w:t>
      </w:r>
      <w:r>
        <w:rPr>
          <w:rFonts w:ascii="Times New Roman" w:hint="eastAsia"/>
          <w:kern w:val="2"/>
          <w:szCs w:val="22"/>
        </w:rPr>
        <w:t>/</w:t>
      </w:r>
      <w:r>
        <w:rPr>
          <w:rFonts w:ascii="Times New Roman" w:hint="eastAsia"/>
          <w:kern w:val="2"/>
          <w:szCs w:val="22"/>
        </w:rPr>
        <w:t>气浮”处理工艺，设计应满足以下技术条件和要求</w:t>
      </w:r>
      <w:r>
        <w:rPr>
          <w:rFonts w:ascii="Times New Roman" w:hint="eastAsia"/>
          <w:kern w:val="2"/>
          <w:szCs w:val="22"/>
        </w:rPr>
        <w:t>:</w:t>
      </w:r>
    </w:p>
    <w:p w14:paraId="261A8BF3"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lastRenderedPageBreak/>
        <w:t>a</w:t>
      </w:r>
      <w:r>
        <w:rPr>
          <w:rFonts w:ascii="Times New Roman" w:hint="eastAsia"/>
          <w:kern w:val="2"/>
          <w:szCs w:val="22"/>
        </w:rPr>
        <w:t>）使用水处理药剂时，一般须设置混凝反应区。水处理药剂与废水的混和及反应宜采用机械搅拌或水力搅拌方式，反应时间与废水性质、药剂种类、投加量和反应形式等因素有关，一般为</w:t>
      </w:r>
      <w:r>
        <w:rPr>
          <w:rFonts w:ascii="Times New Roman" w:hint="eastAsia"/>
          <w:kern w:val="2"/>
          <w:szCs w:val="22"/>
        </w:rPr>
        <w:t>15 min</w:t>
      </w:r>
      <w:r>
        <w:rPr>
          <w:rFonts w:ascii="Times New Roman" w:hint="eastAsia"/>
          <w:kern w:val="2"/>
          <w:szCs w:val="22"/>
        </w:rPr>
        <w:t>～</w:t>
      </w:r>
      <w:r>
        <w:rPr>
          <w:rFonts w:ascii="Times New Roman" w:hint="eastAsia"/>
          <w:kern w:val="2"/>
          <w:szCs w:val="22"/>
        </w:rPr>
        <w:t>30 min;</w:t>
      </w:r>
    </w:p>
    <w:p w14:paraId="261A8BF4"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b</w:t>
      </w:r>
      <w:r>
        <w:rPr>
          <w:rFonts w:ascii="Times New Roman" w:hint="eastAsia"/>
          <w:kern w:val="2"/>
          <w:szCs w:val="22"/>
        </w:rPr>
        <w:t>）采用混凝沉淀工艺时，混合区</w:t>
      </w:r>
      <w:r>
        <w:rPr>
          <w:rFonts w:ascii="Times New Roman" w:hint="eastAsia"/>
          <w:kern w:val="2"/>
          <w:szCs w:val="22"/>
        </w:rPr>
        <w:t>G</w:t>
      </w:r>
      <w:r>
        <w:rPr>
          <w:rFonts w:ascii="Times New Roman" w:hint="eastAsia"/>
          <w:kern w:val="2"/>
          <w:szCs w:val="22"/>
        </w:rPr>
        <w:t>值</w:t>
      </w:r>
      <w:r>
        <w:rPr>
          <w:rFonts w:ascii="Times New Roman" w:hint="eastAsia"/>
          <w:kern w:val="2"/>
          <w:szCs w:val="22"/>
        </w:rPr>
        <w:t>300 s</w:t>
      </w:r>
      <w:r>
        <w:rPr>
          <w:rFonts w:ascii="Times New Roman" w:hint="eastAsia"/>
          <w:kern w:val="2"/>
          <w:szCs w:val="22"/>
          <w:vertAlign w:val="superscript"/>
        </w:rPr>
        <w:t>-1</w:t>
      </w:r>
      <w:r>
        <w:rPr>
          <w:rFonts w:ascii="Times New Roman" w:hint="eastAsia"/>
          <w:kern w:val="2"/>
          <w:szCs w:val="22"/>
        </w:rPr>
        <w:t>~600 s</w:t>
      </w:r>
      <w:r>
        <w:rPr>
          <w:rFonts w:ascii="Times New Roman" w:hint="eastAsia"/>
          <w:kern w:val="2"/>
          <w:szCs w:val="22"/>
          <w:vertAlign w:val="superscript"/>
        </w:rPr>
        <w:t>-1</w:t>
      </w:r>
      <w:r>
        <w:rPr>
          <w:rFonts w:ascii="Times New Roman" w:hint="eastAsia"/>
          <w:kern w:val="2"/>
          <w:szCs w:val="22"/>
        </w:rPr>
        <w:t>，混合时间</w:t>
      </w:r>
      <w:r>
        <w:rPr>
          <w:rFonts w:ascii="Times New Roman" w:hint="eastAsia"/>
          <w:kern w:val="2"/>
          <w:szCs w:val="22"/>
        </w:rPr>
        <w:t>30 s</w:t>
      </w:r>
      <w:r>
        <w:rPr>
          <w:rFonts w:ascii="Times New Roman" w:hint="eastAsia"/>
          <w:kern w:val="2"/>
          <w:szCs w:val="22"/>
        </w:rPr>
        <w:t>～</w:t>
      </w:r>
      <w:r>
        <w:rPr>
          <w:rFonts w:ascii="Times New Roman" w:hint="eastAsia"/>
          <w:kern w:val="2"/>
          <w:szCs w:val="22"/>
        </w:rPr>
        <w:t>120 s</w:t>
      </w:r>
      <w:r>
        <w:rPr>
          <w:rFonts w:ascii="Times New Roman" w:hint="eastAsia"/>
          <w:kern w:val="2"/>
          <w:szCs w:val="22"/>
        </w:rPr>
        <w:t>，反应区</w:t>
      </w:r>
      <w:r>
        <w:rPr>
          <w:rFonts w:ascii="Times New Roman" w:hint="eastAsia"/>
          <w:kern w:val="2"/>
          <w:szCs w:val="22"/>
        </w:rPr>
        <w:t>G</w:t>
      </w:r>
      <w:r>
        <w:rPr>
          <w:rFonts w:ascii="Times New Roman" w:hint="eastAsia"/>
          <w:kern w:val="2"/>
          <w:szCs w:val="22"/>
        </w:rPr>
        <w:t>值</w:t>
      </w:r>
      <w:r>
        <w:rPr>
          <w:rFonts w:ascii="Times New Roman" w:hint="eastAsia"/>
          <w:kern w:val="2"/>
          <w:szCs w:val="22"/>
        </w:rPr>
        <w:t>30s</w:t>
      </w:r>
      <w:r>
        <w:rPr>
          <w:rFonts w:ascii="Times New Roman" w:hint="eastAsia"/>
          <w:kern w:val="2"/>
          <w:szCs w:val="22"/>
          <w:vertAlign w:val="superscript"/>
        </w:rPr>
        <w:t>-1</w:t>
      </w:r>
      <w:r>
        <w:rPr>
          <w:rFonts w:ascii="Times New Roman" w:hint="eastAsia"/>
          <w:kern w:val="2"/>
          <w:szCs w:val="22"/>
        </w:rPr>
        <w:t>~60s</w:t>
      </w:r>
      <w:r>
        <w:rPr>
          <w:rFonts w:ascii="Times New Roman" w:hint="eastAsia"/>
          <w:kern w:val="2"/>
          <w:szCs w:val="22"/>
          <w:vertAlign w:val="superscript"/>
        </w:rPr>
        <w:t>-1</w:t>
      </w:r>
      <w:r>
        <w:rPr>
          <w:rFonts w:ascii="Times New Roman" w:hint="eastAsia"/>
          <w:kern w:val="2"/>
          <w:szCs w:val="22"/>
        </w:rPr>
        <w:t>，反应时间</w:t>
      </w:r>
      <w:r>
        <w:rPr>
          <w:rFonts w:ascii="Times New Roman" w:hint="eastAsia"/>
          <w:kern w:val="2"/>
          <w:szCs w:val="22"/>
        </w:rPr>
        <w:t>5 min</w:t>
      </w:r>
      <w:r>
        <w:rPr>
          <w:rFonts w:ascii="Times New Roman" w:hint="eastAsia"/>
          <w:kern w:val="2"/>
          <w:szCs w:val="22"/>
        </w:rPr>
        <w:t>～</w:t>
      </w:r>
      <w:r>
        <w:rPr>
          <w:rFonts w:ascii="Times New Roman" w:hint="eastAsia"/>
          <w:kern w:val="2"/>
          <w:szCs w:val="22"/>
        </w:rPr>
        <w:t>20min</w:t>
      </w:r>
      <w:r>
        <w:rPr>
          <w:rFonts w:ascii="Times New Roman" w:hint="eastAsia"/>
          <w:kern w:val="2"/>
          <w:szCs w:val="22"/>
        </w:rPr>
        <w:t>，沉淀池表面负荷</w:t>
      </w:r>
      <w:r>
        <w:rPr>
          <w:rFonts w:ascii="Times New Roman" w:hint="eastAsia"/>
          <w:kern w:val="2"/>
          <w:szCs w:val="22"/>
        </w:rPr>
        <w:t>0.6 m</w:t>
      </w:r>
      <w:r>
        <w:rPr>
          <w:rFonts w:ascii="Times New Roman" w:hint="eastAsia"/>
          <w:kern w:val="2"/>
          <w:szCs w:val="22"/>
          <w:vertAlign w:val="superscript"/>
        </w:rPr>
        <w:t>3</w:t>
      </w:r>
      <w:r>
        <w:rPr>
          <w:rFonts w:ascii="Times New Roman" w:hint="eastAsia"/>
          <w:kern w:val="2"/>
          <w:szCs w:val="22"/>
        </w:rPr>
        <w:t>/(m</w:t>
      </w:r>
      <w:r>
        <w:rPr>
          <w:rFonts w:ascii="Times New Roman" w:hint="eastAsia"/>
          <w:kern w:val="2"/>
          <w:szCs w:val="22"/>
          <w:vertAlign w:val="superscript"/>
        </w:rPr>
        <w:t>2</w:t>
      </w:r>
      <w:r>
        <w:rPr>
          <w:rFonts w:ascii="Times New Roman" w:hint="eastAsia"/>
          <w:kern w:val="2"/>
          <w:szCs w:val="22"/>
        </w:rPr>
        <w:t>·</w:t>
      </w:r>
      <w:r>
        <w:rPr>
          <w:rFonts w:ascii="Times New Roman" w:hint="eastAsia"/>
          <w:kern w:val="2"/>
          <w:szCs w:val="22"/>
        </w:rPr>
        <w:t>h)</w:t>
      </w:r>
      <w:r>
        <w:rPr>
          <w:rFonts w:ascii="Times New Roman" w:hint="eastAsia"/>
          <w:kern w:val="2"/>
          <w:szCs w:val="22"/>
        </w:rPr>
        <w:t>～</w:t>
      </w:r>
      <w:r>
        <w:rPr>
          <w:rFonts w:ascii="Times New Roman" w:hint="eastAsia"/>
          <w:kern w:val="2"/>
          <w:szCs w:val="22"/>
        </w:rPr>
        <w:t>1 .2 m</w:t>
      </w:r>
      <w:r>
        <w:rPr>
          <w:rFonts w:ascii="Times New Roman" w:hint="eastAsia"/>
          <w:kern w:val="2"/>
          <w:szCs w:val="22"/>
          <w:vertAlign w:val="superscript"/>
        </w:rPr>
        <w:t>3</w:t>
      </w:r>
      <w:r>
        <w:rPr>
          <w:rFonts w:ascii="Times New Roman" w:hint="eastAsia"/>
          <w:kern w:val="2"/>
          <w:szCs w:val="22"/>
        </w:rPr>
        <w:t>/(m</w:t>
      </w:r>
      <w:r>
        <w:rPr>
          <w:rFonts w:ascii="Times New Roman" w:hint="eastAsia"/>
          <w:kern w:val="2"/>
          <w:szCs w:val="22"/>
          <w:vertAlign w:val="superscript"/>
        </w:rPr>
        <w:t>2</w:t>
      </w:r>
      <w:r>
        <w:rPr>
          <w:rFonts w:ascii="Times New Roman" w:hint="eastAsia"/>
          <w:kern w:val="2"/>
          <w:szCs w:val="22"/>
        </w:rPr>
        <w:t>·</w:t>
      </w:r>
      <w:r>
        <w:rPr>
          <w:rFonts w:ascii="Times New Roman" w:hint="eastAsia"/>
          <w:kern w:val="2"/>
          <w:szCs w:val="22"/>
        </w:rPr>
        <w:t>h)</w:t>
      </w:r>
      <w:r>
        <w:rPr>
          <w:rFonts w:ascii="Times New Roman" w:hint="eastAsia"/>
          <w:kern w:val="2"/>
          <w:szCs w:val="22"/>
        </w:rPr>
        <w:t>。</w:t>
      </w:r>
    </w:p>
    <w:p w14:paraId="261A8BF5"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c</w:t>
      </w:r>
      <w:r>
        <w:rPr>
          <w:rFonts w:ascii="Times New Roman" w:hint="eastAsia"/>
          <w:kern w:val="2"/>
          <w:szCs w:val="22"/>
        </w:rPr>
        <w:t>）采用混凝气浮工艺时，气浮处理宜采用溶气气浮、涡凹气浮或射流气浮。气浮进水含油量宜小于</w:t>
      </w:r>
      <w:r>
        <w:rPr>
          <w:rFonts w:ascii="Times New Roman" w:hint="eastAsia"/>
          <w:kern w:val="2"/>
          <w:szCs w:val="22"/>
        </w:rPr>
        <w:t>100 mg/L</w:t>
      </w:r>
      <w:r>
        <w:rPr>
          <w:rFonts w:ascii="Times New Roman" w:hint="eastAsia"/>
          <w:kern w:val="2"/>
          <w:szCs w:val="22"/>
        </w:rPr>
        <w:t>。气浮处理产生的浮渣宜采用机械式清渣。刮渣机的行车速度宜控制在</w:t>
      </w:r>
      <w:r>
        <w:rPr>
          <w:rFonts w:ascii="Times New Roman" w:hint="eastAsia"/>
          <w:kern w:val="2"/>
          <w:szCs w:val="22"/>
        </w:rPr>
        <w:t>1 m/min</w:t>
      </w:r>
      <w:r>
        <w:rPr>
          <w:rFonts w:ascii="Times New Roman" w:hint="eastAsia"/>
          <w:kern w:val="2"/>
          <w:szCs w:val="22"/>
        </w:rPr>
        <w:t>～</w:t>
      </w:r>
      <w:r>
        <w:rPr>
          <w:rFonts w:ascii="Times New Roman" w:hint="eastAsia"/>
          <w:kern w:val="2"/>
          <w:szCs w:val="22"/>
        </w:rPr>
        <w:t>5 m/min;</w:t>
      </w:r>
    </w:p>
    <w:p w14:paraId="261A8BF6"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e</w:t>
      </w:r>
      <w:r>
        <w:rPr>
          <w:rFonts w:ascii="Times New Roman" w:hint="eastAsia"/>
          <w:kern w:val="2"/>
          <w:szCs w:val="22"/>
        </w:rPr>
        <w:t>）其他工艺设计应符合</w:t>
      </w:r>
      <w:r>
        <w:rPr>
          <w:rFonts w:ascii="Times New Roman" w:hint="eastAsia"/>
          <w:kern w:val="2"/>
          <w:szCs w:val="22"/>
        </w:rPr>
        <w:t>HJ 2007</w:t>
      </w:r>
      <w:r>
        <w:rPr>
          <w:rFonts w:ascii="Times New Roman" w:hint="eastAsia"/>
          <w:kern w:val="2"/>
          <w:szCs w:val="22"/>
        </w:rPr>
        <w:t>的相关技术要求。</w:t>
      </w:r>
    </w:p>
    <w:p w14:paraId="261A8BF7" w14:textId="77777777" w:rsidR="0014798F" w:rsidRDefault="00FE0155">
      <w:pPr>
        <w:pStyle w:val="ab"/>
        <w:autoSpaceDE/>
        <w:autoSpaceDN/>
        <w:spacing w:line="300" w:lineRule="auto"/>
        <w:ind w:firstLineChars="0" w:firstLine="0"/>
        <w:rPr>
          <w:rFonts w:ascii="Times New Roman"/>
          <w:kern w:val="2"/>
          <w:szCs w:val="22"/>
        </w:rPr>
      </w:pPr>
      <w:r>
        <w:rPr>
          <w:rFonts w:ascii="Times New Roman" w:hint="eastAsia"/>
          <w:kern w:val="2"/>
          <w:szCs w:val="22"/>
        </w:rPr>
        <w:t xml:space="preserve">7.2.2.5 </w:t>
      </w:r>
      <w:r>
        <w:rPr>
          <w:rFonts w:ascii="Times New Roman" w:hint="eastAsia"/>
          <w:kern w:val="2"/>
          <w:szCs w:val="22"/>
        </w:rPr>
        <w:t>厌氧生物处理</w:t>
      </w:r>
    </w:p>
    <w:p w14:paraId="261A8BF8"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a</w:t>
      </w:r>
      <w:r>
        <w:rPr>
          <w:rFonts w:ascii="Times New Roman" w:hint="eastAsia"/>
          <w:kern w:val="2"/>
          <w:szCs w:val="22"/>
        </w:rPr>
        <w:t>）厌氧生物处理宜控制水温为</w:t>
      </w:r>
      <w:r>
        <w:rPr>
          <w:rFonts w:ascii="Times New Roman" w:hint="eastAsia"/>
          <w:kern w:val="2"/>
          <w:szCs w:val="22"/>
        </w:rPr>
        <w:t>:</w:t>
      </w:r>
      <w:r>
        <w:rPr>
          <w:rFonts w:ascii="Times New Roman" w:hint="eastAsia"/>
          <w:kern w:val="2"/>
          <w:szCs w:val="22"/>
        </w:rPr>
        <w:t>冬季</w:t>
      </w:r>
      <w:r>
        <w:rPr>
          <w:rFonts w:ascii="Times New Roman" w:hint="eastAsia"/>
          <w:kern w:val="2"/>
          <w:szCs w:val="22"/>
        </w:rPr>
        <w:t>30</w:t>
      </w:r>
      <w:r>
        <w:rPr>
          <w:rFonts w:ascii="Times New Roman" w:hint="eastAsia"/>
          <w:kern w:val="2"/>
          <w:szCs w:val="22"/>
        </w:rPr>
        <w:t>℃</w:t>
      </w:r>
      <w:r>
        <w:rPr>
          <w:rFonts w:ascii="Times New Roman" w:hint="eastAsia"/>
          <w:kern w:val="2"/>
          <w:szCs w:val="22"/>
        </w:rPr>
        <w:t>~40</w:t>
      </w:r>
      <w:r>
        <w:rPr>
          <w:rFonts w:ascii="Times New Roman" w:hint="eastAsia"/>
          <w:kern w:val="2"/>
          <w:szCs w:val="22"/>
        </w:rPr>
        <w:t>℃，夏季</w:t>
      </w:r>
      <w:r>
        <w:rPr>
          <w:rFonts w:ascii="Times New Roman" w:hint="eastAsia"/>
          <w:kern w:val="2"/>
          <w:szCs w:val="22"/>
        </w:rPr>
        <w:t>25</w:t>
      </w:r>
      <w:r>
        <w:rPr>
          <w:rFonts w:ascii="Times New Roman" w:hint="eastAsia"/>
          <w:kern w:val="2"/>
          <w:szCs w:val="22"/>
        </w:rPr>
        <w:t>℃</w:t>
      </w:r>
      <w:r>
        <w:rPr>
          <w:rFonts w:ascii="Times New Roman" w:hint="eastAsia"/>
          <w:kern w:val="2"/>
          <w:szCs w:val="22"/>
        </w:rPr>
        <w:t>~40</w:t>
      </w:r>
      <w:r>
        <w:rPr>
          <w:rFonts w:ascii="Times New Roman" w:hint="eastAsia"/>
          <w:kern w:val="2"/>
          <w:szCs w:val="22"/>
        </w:rPr>
        <w:t>℃。</w:t>
      </w:r>
    </w:p>
    <w:p w14:paraId="261A8BF9"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b</w:t>
      </w:r>
      <w:r>
        <w:rPr>
          <w:rFonts w:ascii="Times New Roman" w:hint="eastAsia"/>
          <w:kern w:val="2"/>
          <w:szCs w:val="22"/>
        </w:rPr>
        <w:t>）厌氧生物处理系统进水</w:t>
      </w:r>
      <w:r>
        <w:rPr>
          <w:rFonts w:ascii="Times New Roman" w:hint="eastAsia"/>
          <w:kern w:val="2"/>
          <w:szCs w:val="22"/>
        </w:rPr>
        <w:t xml:space="preserve"> pH </w:t>
      </w:r>
      <w:r>
        <w:rPr>
          <w:rFonts w:ascii="Times New Roman" w:hint="eastAsia"/>
          <w:kern w:val="2"/>
          <w:szCs w:val="22"/>
        </w:rPr>
        <w:t>值宜为</w:t>
      </w:r>
      <w:r>
        <w:rPr>
          <w:rFonts w:ascii="Times New Roman" w:hint="eastAsia"/>
          <w:kern w:val="2"/>
          <w:szCs w:val="22"/>
        </w:rPr>
        <w:t>6.5~7.5</w:t>
      </w:r>
      <w:r>
        <w:rPr>
          <w:rFonts w:ascii="Times New Roman" w:hint="eastAsia"/>
          <w:kern w:val="2"/>
          <w:szCs w:val="22"/>
        </w:rPr>
        <w:t>，石油类宜小于</w:t>
      </w:r>
      <w:r>
        <w:rPr>
          <w:rFonts w:ascii="Times New Roman" w:hint="eastAsia"/>
          <w:kern w:val="2"/>
          <w:szCs w:val="22"/>
        </w:rPr>
        <w:t xml:space="preserve"> 20 mg/L</w:t>
      </w:r>
      <w:r>
        <w:rPr>
          <w:rFonts w:ascii="Times New Roman" w:hint="eastAsia"/>
          <w:kern w:val="2"/>
          <w:szCs w:val="22"/>
        </w:rPr>
        <w:t>，硫酸盐浓度应小于</w:t>
      </w:r>
      <w:r>
        <w:rPr>
          <w:rFonts w:ascii="Times New Roman" w:hint="eastAsia"/>
          <w:kern w:val="2"/>
          <w:szCs w:val="22"/>
        </w:rPr>
        <w:t>1000mg/L</w:t>
      </w:r>
      <w:r>
        <w:rPr>
          <w:rFonts w:ascii="Times New Roman" w:hint="eastAsia"/>
          <w:kern w:val="2"/>
          <w:szCs w:val="22"/>
        </w:rPr>
        <w:t>。</w:t>
      </w:r>
    </w:p>
    <w:p w14:paraId="261A8BFA"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c</w:t>
      </w:r>
      <w:r>
        <w:rPr>
          <w:rFonts w:ascii="Times New Roman" w:hint="eastAsia"/>
          <w:kern w:val="2"/>
          <w:szCs w:val="22"/>
        </w:rPr>
        <w:t>）厌氧生物处理后可设置沉淀池，停留时间宜为</w:t>
      </w:r>
      <w:r>
        <w:rPr>
          <w:rFonts w:ascii="Times New Roman" w:hint="eastAsia"/>
          <w:kern w:val="2"/>
          <w:szCs w:val="22"/>
        </w:rPr>
        <w:t>1.5 h~3.0 h</w:t>
      </w:r>
      <w:r>
        <w:rPr>
          <w:rFonts w:ascii="Times New Roman" w:hint="eastAsia"/>
          <w:kern w:val="2"/>
          <w:szCs w:val="22"/>
        </w:rPr>
        <w:t>。</w:t>
      </w:r>
    </w:p>
    <w:p w14:paraId="261A8BFB"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d</w:t>
      </w:r>
      <w:r>
        <w:rPr>
          <w:rFonts w:ascii="Times New Roman" w:hint="eastAsia"/>
          <w:kern w:val="2"/>
          <w:szCs w:val="22"/>
        </w:rPr>
        <w:t>）厌氧生物处理宜选用水解酸化法，也可选用厌氧生化池，相关参数应通过试验确定。</w:t>
      </w:r>
    </w:p>
    <w:p w14:paraId="261A8BFC"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e</w:t>
      </w:r>
      <w:r>
        <w:rPr>
          <w:rFonts w:ascii="Times New Roman" w:hint="eastAsia"/>
          <w:kern w:val="2"/>
          <w:szCs w:val="22"/>
        </w:rPr>
        <w:t>）厌氧生物处理应避免产甲烷，可通过调节氧化还原电位高于</w:t>
      </w:r>
      <w:r>
        <w:rPr>
          <w:rFonts w:ascii="Times New Roman" w:hint="eastAsia"/>
          <w:kern w:val="2"/>
          <w:szCs w:val="22"/>
        </w:rPr>
        <w:t>-300 mV</w:t>
      </w:r>
      <w:r>
        <w:rPr>
          <w:rFonts w:ascii="Times New Roman" w:hint="eastAsia"/>
          <w:kern w:val="2"/>
          <w:szCs w:val="22"/>
        </w:rPr>
        <w:t>等措施来抑制产甲烷。</w:t>
      </w:r>
    </w:p>
    <w:p w14:paraId="261A8BFD"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f</w:t>
      </w:r>
      <w:r>
        <w:rPr>
          <w:rFonts w:ascii="Times New Roman" w:hint="eastAsia"/>
          <w:kern w:val="2"/>
          <w:szCs w:val="22"/>
        </w:rPr>
        <w:t>）采用水解酸化法时，应符合以下技术要求</w:t>
      </w:r>
      <w:r>
        <w:rPr>
          <w:rFonts w:ascii="Times New Roman" w:hint="eastAsia"/>
          <w:kern w:val="2"/>
          <w:szCs w:val="22"/>
        </w:rPr>
        <w:t>:</w:t>
      </w:r>
    </w:p>
    <w:p w14:paraId="261A8BFE"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1</w:t>
      </w:r>
      <w:r>
        <w:rPr>
          <w:rFonts w:ascii="Times New Roman" w:hint="eastAsia"/>
          <w:kern w:val="2"/>
          <w:szCs w:val="22"/>
        </w:rPr>
        <w:t>）水解酸化池进水</w:t>
      </w:r>
      <w:r>
        <w:rPr>
          <w:rFonts w:ascii="Times New Roman" w:hint="eastAsia"/>
          <w:kern w:val="2"/>
          <w:szCs w:val="22"/>
        </w:rPr>
        <w:t>CODcr</w:t>
      </w:r>
      <w:r>
        <w:rPr>
          <w:rFonts w:ascii="Times New Roman" w:hint="eastAsia"/>
          <w:kern w:val="2"/>
          <w:szCs w:val="22"/>
        </w:rPr>
        <w:t>宜小于</w:t>
      </w:r>
      <w:r>
        <w:rPr>
          <w:rFonts w:ascii="Times New Roman" w:hint="eastAsia"/>
          <w:kern w:val="2"/>
          <w:szCs w:val="22"/>
        </w:rPr>
        <w:t>1000 mg/L</w:t>
      </w:r>
      <w:r>
        <w:rPr>
          <w:rFonts w:ascii="Times New Roman" w:hint="eastAsia"/>
          <w:kern w:val="2"/>
          <w:szCs w:val="22"/>
        </w:rPr>
        <w:t>。</w:t>
      </w:r>
    </w:p>
    <w:p w14:paraId="261A8BFF"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2</w:t>
      </w:r>
      <w:r>
        <w:rPr>
          <w:rFonts w:ascii="Times New Roman" w:hint="eastAsia"/>
          <w:kern w:val="2"/>
          <w:szCs w:val="22"/>
        </w:rPr>
        <w:t>）水解酸化池容积负荷宜为</w:t>
      </w:r>
      <w:r>
        <w:rPr>
          <w:rFonts w:ascii="Times New Roman" w:hint="eastAsia"/>
          <w:kern w:val="2"/>
          <w:szCs w:val="22"/>
        </w:rPr>
        <w:t>0.7kgCOD/ (m</w:t>
      </w:r>
      <w:r>
        <w:rPr>
          <w:rFonts w:ascii="Times New Roman" w:hint="eastAsia"/>
          <w:kern w:val="2"/>
          <w:szCs w:val="22"/>
          <w:vertAlign w:val="superscript"/>
        </w:rPr>
        <w:t>3</w:t>
      </w:r>
      <w:r>
        <w:rPr>
          <w:rFonts w:ascii="Times New Roman" w:hint="eastAsia"/>
          <w:kern w:val="2"/>
          <w:szCs w:val="22"/>
        </w:rPr>
        <w:t>·</w:t>
      </w:r>
      <w:r>
        <w:rPr>
          <w:rFonts w:ascii="Times New Roman" w:hint="eastAsia"/>
          <w:kern w:val="2"/>
          <w:szCs w:val="22"/>
        </w:rPr>
        <w:t>d)~2.0 kgCOD/ (m</w:t>
      </w:r>
      <w:r>
        <w:rPr>
          <w:rFonts w:ascii="Times New Roman" w:hint="eastAsia"/>
          <w:kern w:val="2"/>
          <w:szCs w:val="22"/>
          <w:vertAlign w:val="superscript"/>
        </w:rPr>
        <w:t>3</w:t>
      </w:r>
      <w:r>
        <w:rPr>
          <w:rFonts w:ascii="Times New Roman" w:hint="eastAsia"/>
          <w:kern w:val="2"/>
          <w:szCs w:val="22"/>
        </w:rPr>
        <w:t>·</w:t>
      </w:r>
      <w:r>
        <w:rPr>
          <w:rFonts w:ascii="Times New Roman" w:hint="eastAsia"/>
          <w:kern w:val="2"/>
          <w:szCs w:val="22"/>
        </w:rPr>
        <w:t>d)</w:t>
      </w:r>
      <w:r>
        <w:rPr>
          <w:rFonts w:ascii="Times New Roman" w:hint="eastAsia"/>
          <w:kern w:val="2"/>
          <w:szCs w:val="22"/>
        </w:rPr>
        <w:t>。停留时间可设计为</w:t>
      </w:r>
      <w:r>
        <w:rPr>
          <w:rFonts w:ascii="Times New Roman" w:hint="eastAsia"/>
          <w:kern w:val="2"/>
          <w:szCs w:val="22"/>
        </w:rPr>
        <w:t>6 h~</w:t>
      </w:r>
    </w:p>
    <w:p w14:paraId="261A8C00"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12 h;</w:t>
      </w:r>
    </w:p>
    <w:p w14:paraId="261A8C01"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3</w:t>
      </w:r>
      <w:r>
        <w:rPr>
          <w:rFonts w:ascii="Times New Roman" w:hint="eastAsia"/>
          <w:kern w:val="2"/>
          <w:szCs w:val="22"/>
        </w:rPr>
        <w:t>）水解酸化池底部应设置潜水搅拌器，以防止污泥沉淀。潜水搅拌机的搅拌功率宜采用</w:t>
      </w:r>
      <w:r>
        <w:rPr>
          <w:rFonts w:ascii="Times New Roman" w:hint="eastAsia"/>
          <w:kern w:val="2"/>
          <w:szCs w:val="22"/>
        </w:rPr>
        <w:t>2W/m</w:t>
      </w:r>
      <w:r>
        <w:rPr>
          <w:rFonts w:ascii="Times New Roman" w:hint="eastAsia"/>
          <w:kern w:val="2"/>
          <w:szCs w:val="22"/>
          <w:vertAlign w:val="superscript"/>
        </w:rPr>
        <w:t>3</w:t>
      </w:r>
      <w:r>
        <w:rPr>
          <w:rFonts w:ascii="Times New Roman" w:hint="eastAsia"/>
          <w:kern w:val="2"/>
          <w:szCs w:val="22"/>
        </w:rPr>
        <w:t>~4W/m</w:t>
      </w:r>
      <w:r>
        <w:rPr>
          <w:rFonts w:ascii="Times New Roman" w:hint="eastAsia"/>
          <w:kern w:val="2"/>
          <w:szCs w:val="22"/>
          <w:vertAlign w:val="superscript"/>
        </w:rPr>
        <w:t>3</w:t>
      </w:r>
      <w:r>
        <w:rPr>
          <w:rFonts w:ascii="Times New Roman" w:hint="eastAsia"/>
          <w:kern w:val="2"/>
          <w:szCs w:val="22"/>
        </w:rPr>
        <w:t>;</w:t>
      </w:r>
    </w:p>
    <w:p w14:paraId="261A8C02"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4</w:t>
      </w:r>
      <w:r>
        <w:rPr>
          <w:rFonts w:ascii="Times New Roman" w:hint="eastAsia"/>
          <w:kern w:val="2"/>
          <w:szCs w:val="22"/>
        </w:rPr>
        <w:t>）布水系统应从底部进水，且应保证均匀布水，废水的上升流速宜小于</w:t>
      </w:r>
      <w:r>
        <w:rPr>
          <w:rFonts w:ascii="Times New Roman" w:hint="eastAsia"/>
          <w:kern w:val="2"/>
          <w:szCs w:val="22"/>
        </w:rPr>
        <w:t>2.5 m/h;</w:t>
      </w:r>
    </w:p>
    <w:p w14:paraId="261A8C03"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5</w:t>
      </w:r>
      <w:r>
        <w:rPr>
          <w:rFonts w:ascii="Times New Roman" w:hint="eastAsia"/>
          <w:kern w:val="2"/>
          <w:szCs w:val="22"/>
        </w:rPr>
        <w:t>）水解酸化池的有效水深宜为</w:t>
      </w:r>
      <w:r>
        <w:rPr>
          <w:rFonts w:ascii="Times New Roman" w:hint="eastAsia"/>
          <w:kern w:val="2"/>
          <w:szCs w:val="22"/>
        </w:rPr>
        <w:t>4.0 m~6.0 m;</w:t>
      </w:r>
    </w:p>
    <w:p w14:paraId="261A8C04"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6</w:t>
      </w:r>
      <w:r>
        <w:rPr>
          <w:rFonts w:ascii="Times New Roman" w:hint="eastAsia"/>
          <w:kern w:val="2"/>
          <w:szCs w:val="22"/>
        </w:rPr>
        <w:t>）水解酸化池池宽与有效水深之比宜采用</w:t>
      </w:r>
      <w:r>
        <w:rPr>
          <w:rFonts w:ascii="Times New Roman" w:hint="eastAsia"/>
          <w:kern w:val="2"/>
          <w:szCs w:val="22"/>
        </w:rPr>
        <w:t>1:1</w:t>
      </w:r>
      <w:r>
        <w:rPr>
          <w:rFonts w:ascii="Times New Roman" w:hint="eastAsia"/>
          <w:kern w:val="2"/>
          <w:szCs w:val="22"/>
        </w:rPr>
        <w:t>～</w:t>
      </w:r>
      <w:r>
        <w:rPr>
          <w:rFonts w:ascii="Times New Roman" w:hint="eastAsia"/>
          <w:kern w:val="2"/>
          <w:szCs w:val="22"/>
        </w:rPr>
        <w:t>2:1;</w:t>
      </w:r>
    </w:p>
    <w:p w14:paraId="261A8C05"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7</w:t>
      </w:r>
      <w:r>
        <w:rPr>
          <w:rFonts w:ascii="Times New Roman" w:hint="eastAsia"/>
          <w:kern w:val="2"/>
          <w:szCs w:val="22"/>
        </w:rPr>
        <w:t>）水解酸化后沉淀池表面负荷宜为</w:t>
      </w:r>
      <w:r>
        <w:rPr>
          <w:rFonts w:ascii="Times New Roman" w:hint="eastAsia"/>
          <w:kern w:val="2"/>
          <w:szCs w:val="22"/>
        </w:rPr>
        <w:t>0.5 m</w:t>
      </w:r>
      <w:r>
        <w:rPr>
          <w:rFonts w:ascii="Times New Roman" w:hint="eastAsia"/>
          <w:kern w:val="2"/>
          <w:szCs w:val="22"/>
          <w:vertAlign w:val="superscript"/>
        </w:rPr>
        <w:t>3</w:t>
      </w:r>
      <w:r>
        <w:rPr>
          <w:rFonts w:ascii="Times New Roman" w:hint="eastAsia"/>
          <w:kern w:val="2"/>
          <w:szCs w:val="22"/>
        </w:rPr>
        <w:t>/(m</w:t>
      </w:r>
      <w:r>
        <w:rPr>
          <w:rFonts w:ascii="Times New Roman" w:hint="eastAsia"/>
          <w:kern w:val="2"/>
          <w:szCs w:val="22"/>
          <w:vertAlign w:val="superscript"/>
        </w:rPr>
        <w:t>2</w:t>
      </w:r>
      <w:r>
        <w:rPr>
          <w:rFonts w:ascii="Times New Roman" w:hint="eastAsia"/>
          <w:kern w:val="2"/>
          <w:szCs w:val="22"/>
        </w:rPr>
        <w:t>·</w:t>
      </w:r>
      <w:r>
        <w:rPr>
          <w:rFonts w:ascii="Times New Roman" w:hint="eastAsia"/>
          <w:kern w:val="2"/>
          <w:szCs w:val="22"/>
        </w:rPr>
        <w:t>h)~1.5 m</w:t>
      </w:r>
      <w:r>
        <w:rPr>
          <w:rFonts w:ascii="Times New Roman" w:hint="eastAsia"/>
          <w:kern w:val="2"/>
          <w:szCs w:val="22"/>
          <w:vertAlign w:val="superscript"/>
        </w:rPr>
        <w:t>3</w:t>
      </w:r>
      <w:r>
        <w:rPr>
          <w:rFonts w:ascii="Times New Roman" w:hint="eastAsia"/>
          <w:kern w:val="2"/>
          <w:szCs w:val="22"/>
        </w:rPr>
        <w:t>/(m</w:t>
      </w:r>
      <w:r>
        <w:rPr>
          <w:rFonts w:ascii="Times New Roman" w:hint="eastAsia"/>
          <w:kern w:val="2"/>
          <w:szCs w:val="22"/>
          <w:vertAlign w:val="superscript"/>
        </w:rPr>
        <w:t>2</w:t>
      </w:r>
      <w:r>
        <w:rPr>
          <w:rFonts w:ascii="Times New Roman" w:hint="eastAsia"/>
          <w:kern w:val="2"/>
          <w:szCs w:val="22"/>
        </w:rPr>
        <w:t>·</w:t>
      </w:r>
      <w:r>
        <w:rPr>
          <w:rFonts w:ascii="Times New Roman" w:hint="eastAsia"/>
          <w:kern w:val="2"/>
          <w:szCs w:val="22"/>
        </w:rPr>
        <w:t>h)</w:t>
      </w:r>
      <w:r>
        <w:rPr>
          <w:rFonts w:ascii="Times New Roman" w:hint="eastAsia"/>
          <w:kern w:val="2"/>
          <w:szCs w:val="22"/>
        </w:rPr>
        <w:t>。</w:t>
      </w:r>
    </w:p>
    <w:p w14:paraId="261A8C06" w14:textId="77777777" w:rsidR="0014798F" w:rsidRDefault="00FE0155">
      <w:pPr>
        <w:pStyle w:val="ab"/>
        <w:autoSpaceDE/>
        <w:autoSpaceDN/>
        <w:spacing w:line="300" w:lineRule="auto"/>
        <w:ind w:firstLineChars="0" w:firstLine="0"/>
        <w:rPr>
          <w:rFonts w:ascii="Times New Roman"/>
          <w:kern w:val="2"/>
          <w:szCs w:val="22"/>
        </w:rPr>
      </w:pPr>
      <w:r>
        <w:rPr>
          <w:rFonts w:ascii="Times New Roman" w:hint="eastAsia"/>
          <w:kern w:val="2"/>
          <w:szCs w:val="22"/>
        </w:rPr>
        <w:t xml:space="preserve">7.2.2.6 </w:t>
      </w:r>
      <w:r>
        <w:rPr>
          <w:rFonts w:ascii="Times New Roman" w:hint="eastAsia"/>
          <w:kern w:val="2"/>
          <w:szCs w:val="22"/>
        </w:rPr>
        <w:t>好氧生物处理</w:t>
      </w:r>
    </w:p>
    <w:p w14:paraId="261A8C07"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a</w:t>
      </w:r>
      <w:r>
        <w:rPr>
          <w:rFonts w:ascii="Times New Roman" w:hint="eastAsia"/>
          <w:kern w:val="2"/>
          <w:szCs w:val="22"/>
        </w:rPr>
        <w:t>）好氧生物处理系统的进水</w:t>
      </w:r>
      <w:r>
        <w:rPr>
          <w:rFonts w:ascii="Times New Roman" w:hint="eastAsia"/>
          <w:kern w:val="2"/>
          <w:szCs w:val="22"/>
        </w:rPr>
        <w:t>CODcr,</w:t>
      </w:r>
      <w:r>
        <w:rPr>
          <w:rFonts w:ascii="Times New Roman" w:hint="eastAsia"/>
          <w:kern w:val="2"/>
          <w:szCs w:val="22"/>
        </w:rPr>
        <w:t>应不大于</w:t>
      </w:r>
      <w:r>
        <w:rPr>
          <w:rFonts w:ascii="Times New Roman" w:hint="eastAsia"/>
          <w:kern w:val="2"/>
          <w:szCs w:val="22"/>
        </w:rPr>
        <w:t>500mg/L</w:t>
      </w:r>
      <w:r>
        <w:rPr>
          <w:rFonts w:ascii="Times New Roman" w:hint="eastAsia"/>
          <w:kern w:val="2"/>
          <w:szCs w:val="22"/>
        </w:rPr>
        <w:t>。</w:t>
      </w:r>
    </w:p>
    <w:p w14:paraId="261A8C08"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b</w:t>
      </w:r>
      <w:r>
        <w:rPr>
          <w:rFonts w:ascii="Times New Roman" w:hint="eastAsia"/>
          <w:kern w:val="2"/>
          <w:szCs w:val="22"/>
        </w:rPr>
        <w:t>）采用传统活性污泥法时，污泥负荷宜按</w:t>
      </w:r>
      <w:r>
        <w:rPr>
          <w:rFonts w:ascii="Times New Roman" w:hint="eastAsia"/>
          <w:kern w:val="2"/>
          <w:szCs w:val="22"/>
        </w:rPr>
        <w:t>0.05 kgBOD</w:t>
      </w:r>
      <w:r>
        <w:rPr>
          <w:rFonts w:ascii="Times New Roman" w:hint="eastAsia"/>
          <w:kern w:val="2"/>
          <w:szCs w:val="22"/>
          <w:vertAlign w:val="subscript"/>
        </w:rPr>
        <w:t>5</w:t>
      </w:r>
      <w:r>
        <w:rPr>
          <w:rFonts w:ascii="Times New Roman" w:hint="eastAsia"/>
          <w:kern w:val="2"/>
          <w:szCs w:val="22"/>
        </w:rPr>
        <w:t>/(kg MLSS</w:t>
      </w:r>
      <w:r>
        <w:rPr>
          <w:rFonts w:ascii="Times New Roman" w:hint="eastAsia"/>
          <w:kern w:val="2"/>
          <w:szCs w:val="22"/>
        </w:rPr>
        <w:t>·</w:t>
      </w:r>
      <w:r>
        <w:rPr>
          <w:rFonts w:ascii="Times New Roman" w:hint="eastAsia"/>
          <w:kern w:val="2"/>
          <w:szCs w:val="22"/>
        </w:rPr>
        <w:t>d)~0.2kgBOD</w:t>
      </w:r>
      <w:r>
        <w:rPr>
          <w:rFonts w:ascii="Times New Roman" w:hint="eastAsia"/>
          <w:kern w:val="2"/>
          <w:szCs w:val="22"/>
          <w:vertAlign w:val="subscript"/>
        </w:rPr>
        <w:t>5</w:t>
      </w:r>
      <w:r>
        <w:rPr>
          <w:rFonts w:ascii="Times New Roman" w:hint="eastAsia"/>
          <w:kern w:val="2"/>
          <w:szCs w:val="22"/>
        </w:rPr>
        <w:t>/(kg MLSS</w:t>
      </w:r>
      <w:r>
        <w:rPr>
          <w:rFonts w:ascii="Times New Roman" w:hint="eastAsia"/>
          <w:kern w:val="2"/>
          <w:szCs w:val="22"/>
        </w:rPr>
        <w:t>·</w:t>
      </w:r>
      <w:r>
        <w:rPr>
          <w:rFonts w:ascii="Times New Roman" w:hint="eastAsia"/>
          <w:kern w:val="2"/>
          <w:szCs w:val="22"/>
        </w:rPr>
        <w:t>d)</w:t>
      </w:r>
      <w:r>
        <w:rPr>
          <w:rFonts w:ascii="Times New Roman" w:hint="eastAsia"/>
          <w:kern w:val="2"/>
          <w:szCs w:val="22"/>
        </w:rPr>
        <w:t>设计，污泥浓度宜为</w:t>
      </w:r>
      <w:r>
        <w:rPr>
          <w:rFonts w:ascii="Times New Roman" w:hint="eastAsia"/>
          <w:kern w:val="2"/>
          <w:szCs w:val="22"/>
        </w:rPr>
        <w:t>2g/L~4 g/L</w:t>
      </w:r>
      <w:r>
        <w:rPr>
          <w:rFonts w:ascii="Times New Roman" w:hint="eastAsia"/>
          <w:kern w:val="2"/>
          <w:szCs w:val="22"/>
        </w:rPr>
        <w:t>。采用</w:t>
      </w:r>
      <w:r>
        <w:rPr>
          <w:rFonts w:ascii="Times New Roman" w:hint="eastAsia"/>
          <w:kern w:val="2"/>
          <w:szCs w:val="22"/>
        </w:rPr>
        <w:t>A</w:t>
      </w:r>
      <w:r>
        <w:rPr>
          <w:rFonts w:ascii="Times New Roman" w:hint="eastAsia"/>
          <w:kern w:val="2"/>
          <w:szCs w:val="22"/>
          <w:vertAlign w:val="superscript"/>
        </w:rPr>
        <w:t>2</w:t>
      </w:r>
      <w:r>
        <w:rPr>
          <w:rFonts w:ascii="Times New Roman" w:hint="eastAsia"/>
          <w:kern w:val="2"/>
          <w:szCs w:val="22"/>
        </w:rPr>
        <w:t>O</w:t>
      </w:r>
      <w:r>
        <w:rPr>
          <w:rFonts w:ascii="Times New Roman" w:hint="eastAsia"/>
          <w:kern w:val="2"/>
          <w:szCs w:val="22"/>
        </w:rPr>
        <w:t>、</w:t>
      </w:r>
      <w:r>
        <w:rPr>
          <w:rFonts w:ascii="Times New Roman" w:hint="eastAsia"/>
          <w:kern w:val="2"/>
          <w:szCs w:val="22"/>
        </w:rPr>
        <w:t>SBR</w:t>
      </w:r>
      <w:r>
        <w:rPr>
          <w:rFonts w:ascii="Times New Roman" w:hint="eastAsia"/>
          <w:kern w:val="2"/>
          <w:szCs w:val="22"/>
        </w:rPr>
        <w:t>或</w:t>
      </w:r>
      <w:r>
        <w:rPr>
          <w:rFonts w:ascii="Times New Roman" w:hint="eastAsia"/>
          <w:kern w:val="2"/>
          <w:szCs w:val="22"/>
        </w:rPr>
        <w:t>MBR</w:t>
      </w:r>
      <w:r>
        <w:rPr>
          <w:rFonts w:ascii="Times New Roman" w:hint="eastAsia"/>
          <w:kern w:val="2"/>
          <w:szCs w:val="22"/>
        </w:rPr>
        <w:t>时，其工艺设计应分别符合</w:t>
      </w:r>
      <w:r>
        <w:rPr>
          <w:rFonts w:ascii="Times New Roman" w:hint="eastAsia"/>
          <w:kern w:val="2"/>
          <w:szCs w:val="22"/>
        </w:rPr>
        <w:t>HJ576</w:t>
      </w:r>
      <w:r>
        <w:rPr>
          <w:rFonts w:ascii="Times New Roman" w:hint="eastAsia"/>
          <w:kern w:val="2"/>
          <w:szCs w:val="22"/>
        </w:rPr>
        <w:t>、</w:t>
      </w:r>
      <w:r>
        <w:rPr>
          <w:rFonts w:ascii="Times New Roman" w:hint="eastAsia"/>
          <w:kern w:val="2"/>
          <w:szCs w:val="22"/>
        </w:rPr>
        <w:t>HJ 577</w:t>
      </w:r>
      <w:r>
        <w:rPr>
          <w:rFonts w:ascii="Times New Roman" w:hint="eastAsia"/>
          <w:kern w:val="2"/>
          <w:szCs w:val="22"/>
        </w:rPr>
        <w:t>、</w:t>
      </w:r>
      <w:r>
        <w:rPr>
          <w:rFonts w:ascii="Times New Roman" w:hint="eastAsia"/>
          <w:kern w:val="2"/>
          <w:szCs w:val="22"/>
        </w:rPr>
        <w:t>HJ 2010</w:t>
      </w:r>
      <w:r>
        <w:rPr>
          <w:rFonts w:ascii="Times New Roman" w:hint="eastAsia"/>
          <w:kern w:val="2"/>
          <w:szCs w:val="22"/>
        </w:rPr>
        <w:t>的规定。当污水处理设施位于寒冷地区时，还应符合</w:t>
      </w:r>
      <w:r>
        <w:rPr>
          <w:rFonts w:ascii="Times New Roman" w:hint="eastAsia"/>
          <w:kern w:val="2"/>
          <w:szCs w:val="22"/>
        </w:rPr>
        <w:t>CECS 111</w:t>
      </w:r>
      <w:r>
        <w:rPr>
          <w:rFonts w:ascii="Times New Roman" w:hint="eastAsia"/>
          <w:kern w:val="2"/>
          <w:szCs w:val="22"/>
        </w:rPr>
        <w:t>的规定。</w:t>
      </w:r>
    </w:p>
    <w:p w14:paraId="261A8C09"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c</w:t>
      </w:r>
      <w:r>
        <w:rPr>
          <w:rFonts w:ascii="Times New Roman" w:hint="eastAsia"/>
          <w:kern w:val="2"/>
          <w:szCs w:val="22"/>
        </w:rPr>
        <w:t>）采用生物接触氧化法时，其技术要求如下</w:t>
      </w:r>
      <w:r>
        <w:rPr>
          <w:rFonts w:ascii="Times New Roman" w:hint="eastAsia"/>
          <w:kern w:val="2"/>
          <w:szCs w:val="22"/>
        </w:rPr>
        <w:t>:</w:t>
      </w:r>
    </w:p>
    <w:p w14:paraId="261A8C0A"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1</w:t>
      </w:r>
      <w:r>
        <w:rPr>
          <w:rFonts w:ascii="Times New Roman" w:hint="eastAsia"/>
          <w:kern w:val="2"/>
          <w:szCs w:val="22"/>
        </w:rPr>
        <w:t>）应选用性能优良的高效生物膜填料，固定生物膜填料的支架应满足防腐要求</w:t>
      </w:r>
      <w:r>
        <w:rPr>
          <w:rFonts w:ascii="Times New Roman" w:hint="eastAsia"/>
          <w:kern w:val="2"/>
          <w:szCs w:val="22"/>
        </w:rPr>
        <w:t>;</w:t>
      </w:r>
    </w:p>
    <w:p w14:paraId="261A8C0B"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2</w:t>
      </w:r>
      <w:r>
        <w:rPr>
          <w:rFonts w:ascii="Times New Roman" w:hint="eastAsia"/>
          <w:kern w:val="2"/>
          <w:szCs w:val="22"/>
        </w:rPr>
        <w:t>）容积负荷应根据试验或相似废水处理的实际运行数据确定，当无数据时，宜采用</w:t>
      </w:r>
      <w:r>
        <w:rPr>
          <w:rFonts w:ascii="Times New Roman" w:hint="eastAsia"/>
          <w:kern w:val="2"/>
          <w:szCs w:val="22"/>
        </w:rPr>
        <w:t>0.3 kgCOD/(m</w:t>
      </w:r>
      <w:r>
        <w:rPr>
          <w:rFonts w:ascii="Times New Roman" w:hint="eastAsia"/>
          <w:kern w:val="2"/>
          <w:szCs w:val="22"/>
          <w:vertAlign w:val="superscript"/>
        </w:rPr>
        <w:t>3</w:t>
      </w:r>
      <w:r>
        <w:rPr>
          <w:rFonts w:ascii="Times New Roman" w:hint="eastAsia"/>
          <w:kern w:val="2"/>
          <w:szCs w:val="22"/>
        </w:rPr>
        <w:t>·</w:t>
      </w:r>
      <w:r>
        <w:rPr>
          <w:rFonts w:ascii="Times New Roman" w:hint="eastAsia"/>
          <w:kern w:val="2"/>
          <w:szCs w:val="22"/>
        </w:rPr>
        <w:t>d)</w:t>
      </w:r>
      <w:r>
        <w:rPr>
          <w:rFonts w:ascii="Times New Roman" w:hint="eastAsia"/>
          <w:kern w:val="2"/>
          <w:szCs w:val="22"/>
        </w:rPr>
        <w:t>～</w:t>
      </w:r>
      <w:r>
        <w:rPr>
          <w:rFonts w:ascii="Times New Roman" w:hint="eastAsia"/>
          <w:kern w:val="2"/>
          <w:szCs w:val="22"/>
        </w:rPr>
        <w:t>1.5 kgCOD/(m</w:t>
      </w:r>
      <w:r>
        <w:rPr>
          <w:rFonts w:ascii="Times New Roman" w:hint="eastAsia"/>
          <w:kern w:val="2"/>
          <w:szCs w:val="22"/>
          <w:vertAlign w:val="superscript"/>
        </w:rPr>
        <w:t>3</w:t>
      </w:r>
      <w:r>
        <w:rPr>
          <w:rFonts w:ascii="Times New Roman" w:hint="eastAsia"/>
          <w:kern w:val="2"/>
          <w:szCs w:val="22"/>
        </w:rPr>
        <w:t>·</w:t>
      </w:r>
      <w:r>
        <w:rPr>
          <w:rFonts w:ascii="Times New Roman" w:hint="eastAsia"/>
          <w:kern w:val="2"/>
          <w:szCs w:val="22"/>
        </w:rPr>
        <w:t>d)</w:t>
      </w:r>
      <w:r>
        <w:rPr>
          <w:rFonts w:ascii="Times New Roman" w:hint="eastAsia"/>
          <w:kern w:val="2"/>
          <w:szCs w:val="22"/>
        </w:rPr>
        <w:t>，并按水力停留时间进行校核</w:t>
      </w:r>
      <w:r>
        <w:rPr>
          <w:rFonts w:ascii="Times New Roman" w:hint="eastAsia"/>
          <w:kern w:val="2"/>
          <w:szCs w:val="22"/>
        </w:rPr>
        <w:t>;</w:t>
      </w:r>
    </w:p>
    <w:p w14:paraId="261A8C0C"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3</w:t>
      </w:r>
      <w:r>
        <w:rPr>
          <w:rFonts w:ascii="Times New Roman" w:hint="eastAsia"/>
          <w:kern w:val="2"/>
          <w:szCs w:val="22"/>
        </w:rPr>
        <w:t>）好氧池应保持足够的充氧曝气，溶解氧宜取</w:t>
      </w:r>
      <w:r>
        <w:rPr>
          <w:rFonts w:ascii="Times New Roman" w:hint="eastAsia"/>
          <w:kern w:val="2"/>
          <w:szCs w:val="22"/>
        </w:rPr>
        <w:t>2.0 mg/L</w:t>
      </w:r>
      <w:r>
        <w:rPr>
          <w:rFonts w:ascii="Times New Roman" w:hint="eastAsia"/>
          <w:kern w:val="2"/>
          <w:szCs w:val="22"/>
        </w:rPr>
        <w:t>～</w:t>
      </w:r>
      <w:r>
        <w:rPr>
          <w:rFonts w:ascii="Times New Roman" w:hint="eastAsia"/>
          <w:kern w:val="2"/>
          <w:szCs w:val="22"/>
        </w:rPr>
        <w:t>4.0 mg/L;</w:t>
      </w:r>
    </w:p>
    <w:p w14:paraId="261A8C0D" w14:textId="77777777" w:rsidR="0014798F" w:rsidRDefault="00FE0155">
      <w:pPr>
        <w:pStyle w:val="ab"/>
        <w:autoSpaceDE/>
        <w:autoSpaceDN/>
        <w:spacing w:line="276" w:lineRule="auto"/>
        <w:rPr>
          <w:rFonts w:ascii="Times New Roman"/>
          <w:kern w:val="2"/>
          <w:szCs w:val="22"/>
        </w:rPr>
      </w:pPr>
      <w:r>
        <w:rPr>
          <w:rFonts w:ascii="Times New Roman" w:hint="eastAsia"/>
          <w:kern w:val="2"/>
          <w:szCs w:val="22"/>
        </w:rPr>
        <w:t>d</w:t>
      </w:r>
      <w:r>
        <w:rPr>
          <w:rFonts w:ascii="Times New Roman" w:hint="eastAsia"/>
          <w:kern w:val="2"/>
          <w:szCs w:val="22"/>
        </w:rPr>
        <w:t>）其他工艺设计应符合</w:t>
      </w:r>
      <w:r>
        <w:rPr>
          <w:rFonts w:ascii="Times New Roman" w:hint="eastAsia"/>
          <w:kern w:val="2"/>
          <w:szCs w:val="22"/>
        </w:rPr>
        <w:t>H/T 337</w:t>
      </w:r>
      <w:r>
        <w:rPr>
          <w:rFonts w:ascii="Times New Roman" w:hint="eastAsia"/>
          <w:kern w:val="2"/>
          <w:szCs w:val="22"/>
        </w:rPr>
        <w:t>及</w:t>
      </w:r>
      <w:r>
        <w:rPr>
          <w:rFonts w:ascii="Times New Roman" w:hint="eastAsia"/>
          <w:kern w:val="2"/>
          <w:szCs w:val="22"/>
        </w:rPr>
        <w:t>HJ 2009</w:t>
      </w:r>
      <w:r>
        <w:rPr>
          <w:rFonts w:ascii="Times New Roman" w:hint="eastAsia"/>
          <w:kern w:val="2"/>
          <w:szCs w:val="22"/>
        </w:rPr>
        <w:t>的技术要求。</w:t>
      </w:r>
    </w:p>
    <w:p w14:paraId="261A8C0E" w14:textId="77777777" w:rsidR="0014798F" w:rsidRDefault="00FE0155">
      <w:pPr>
        <w:pStyle w:val="ab"/>
        <w:autoSpaceDE/>
        <w:autoSpaceDN/>
        <w:spacing w:line="300" w:lineRule="auto"/>
        <w:ind w:firstLineChars="0" w:firstLine="0"/>
        <w:rPr>
          <w:rFonts w:ascii="Times New Roman"/>
          <w:kern w:val="2"/>
          <w:szCs w:val="22"/>
        </w:rPr>
      </w:pPr>
      <w:r>
        <w:rPr>
          <w:rFonts w:ascii="Times New Roman" w:hint="eastAsia"/>
          <w:kern w:val="2"/>
          <w:szCs w:val="22"/>
        </w:rPr>
        <w:t xml:space="preserve">7.2.2.7 </w:t>
      </w:r>
      <w:r>
        <w:rPr>
          <w:rFonts w:ascii="Times New Roman" w:hint="eastAsia"/>
          <w:kern w:val="2"/>
          <w:szCs w:val="22"/>
        </w:rPr>
        <w:t>曝气池应考虑设置消泡设施，宜采用加大曝气池超高、添加消泡剂、喷淋消泡和机械消泡等措施。</w:t>
      </w:r>
    </w:p>
    <w:p w14:paraId="261A8C0F" w14:textId="77777777" w:rsidR="0014798F" w:rsidRDefault="00FE0155">
      <w:pPr>
        <w:pStyle w:val="ab"/>
        <w:spacing w:beforeLines="50" w:before="156" w:afterLines="50" w:after="156"/>
        <w:ind w:firstLineChars="0" w:firstLine="0"/>
        <w:rPr>
          <w:rFonts w:ascii="Times New Roman"/>
          <w:kern w:val="2"/>
          <w:szCs w:val="22"/>
        </w:rPr>
      </w:pPr>
      <w:r>
        <w:rPr>
          <w:rFonts w:ascii="Times New Roman" w:hint="eastAsia"/>
          <w:kern w:val="2"/>
          <w:szCs w:val="22"/>
        </w:rPr>
        <w:lastRenderedPageBreak/>
        <w:t xml:space="preserve">7.2.3 </w:t>
      </w:r>
      <w:r>
        <w:rPr>
          <w:rFonts w:ascii="Times New Roman" w:hint="eastAsia"/>
          <w:kern w:val="2"/>
          <w:szCs w:val="22"/>
        </w:rPr>
        <w:t>回注水处理工艺</w:t>
      </w:r>
    </w:p>
    <w:p w14:paraId="261A8C10" w14:textId="77777777" w:rsidR="0014798F" w:rsidRDefault="00FE0155">
      <w:pPr>
        <w:pStyle w:val="ab"/>
        <w:autoSpaceDE/>
        <w:autoSpaceDN/>
        <w:spacing w:line="300" w:lineRule="auto"/>
        <w:ind w:firstLineChars="0" w:firstLine="0"/>
        <w:rPr>
          <w:rFonts w:ascii="Times New Roman"/>
          <w:kern w:val="2"/>
          <w:szCs w:val="22"/>
        </w:rPr>
      </w:pPr>
      <w:r>
        <w:rPr>
          <w:rFonts w:ascii="Times New Roman" w:hint="eastAsia"/>
          <w:kern w:val="2"/>
          <w:szCs w:val="22"/>
        </w:rPr>
        <w:t xml:space="preserve">7.2.3.1 </w:t>
      </w:r>
      <w:r>
        <w:rPr>
          <w:rFonts w:ascii="Times New Roman" w:hint="eastAsia"/>
          <w:kern w:val="2"/>
          <w:szCs w:val="22"/>
        </w:rPr>
        <w:t>回注水处理工艺详见图</w:t>
      </w:r>
      <w:r>
        <w:rPr>
          <w:rFonts w:ascii="Times New Roman" w:hint="eastAsia"/>
          <w:kern w:val="2"/>
          <w:szCs w:val="22"/>
        </w:rPr>
        <w:t>7-2.</w:t>
      </w:r>
    </w:p>
    <w:p w14:paraId="261A8C11" w14:textId="77777777" w:rsidR="0014798F" w:rsidRDefault="00FE0155">
      <w:pPr>
        <w:pStyle w:val="ab"/>
        <w:autoSpaceDE/>
        <w:autoSpaceDN/>
        <w:spacing w:line="300" w:lineRule="auto"/>
        <w:ind w:firstLineChars="0" w:firstLine="0"/>
        <w:jc w:val="center"/>
        <w:rPr>
          <w:rFonts w:hAnsi="宋体" w:cs="宋体"/>
          <w:sz w:val="24"/>
          <w:szCs w:val="24"/>
        </w:rPr>
      </w:pPr>
      <w:r>
        <w:rPr>
          <w:rFonts w:hAnsi="宋体" w:cs="宋体"/>
          <w:noProof/>
          <w:sz w:val="24"/>
          <w:szCs w:val="24"/>
        </w:rPr>
        <w:drawing>
          <wp:inline distT="0" distB="0" distL="114300" distR="114300" wp14:anchorId="261A8C6B" wp14:editId="261A8C6C">
            <wp:extent cx="3173095" cy="1122680"/>
            <wp:effectExtent l="0" t="0" r="8255" b="1270"/>
            <wp:docPr id="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IMG_256"/>
                    <pic:cNvPicPr>
                      <a:picLocks noChangeAspect="1"/>
                    </pic:cNvPicPr>
                  </pic:nvPicPr>
                  <pic:blipFill>
                    <a:blip r:embed="rId18"/>
                    <a:stretch>
                      <a:fillRect/>
                    </a:stretch>
                  </pic:blipFill>
                  <pic:spPr>
                    <a:xfrm>
                      <a:off x="0" y="0"/>
                      <a:ext cx="3173095" cy="1122680"/>
                    </a:xfrm>
                    <a:prstGeom prst="rect">
                      <a:avLst/>
                    </a:prstGeom>
                    <a:noFill/>
                    <a:ln w="9525">
                      <a:noFill/>
                    </a:ln>
                  </pic:spPr>
                </pic:pic>
              </a:graphicData>
            </a:graphic>
          </wp:inline>
        </w:drawing>
      </w:r>
    </w:p>
    <w:p w14:paraId="261A8C12" w14:textId="77777777" w:rsidR="0014798F" w:rsidRDefault="00FE0155">
      <w:pPr>
        <w:pStyle w:val="ab"/>
        <w:autoSpaceDE/>
        <w:autoSpaceDN/>
        <w:spacing w:line="300" w:lineRule="auto"/>
        <w:ind w:firstLineChars="0" w:firstLine="0"/>
        <w:jc w:val="center"/>
        <w:rPr>
          <w:rFonts w:hAnsi="宋体" w:cs="宋体"/>
          <w:szCs w:val="21"/>
        </w:rPr>
      </w:pPr>
      <w:r>
        <w:rPr>
          <w:rFonts w:hAnsi="宋体" w:cs="宋体" w:hint="eastAsia"/>
          <w:szCs w:val="21"/>
        </w:rPr>
        <w:t>图</w:t>
      </w:r>
      <w:r>
        <w:rPr>
          <w:rFonts w:hAnsi="宋体" w:cs="宋体" w:hint="eastAsia"/>
          <w:szCs w:val="21"/>
        </w:rPr>
        <w:t xml:space="preserve">7-2  </w:t>
      </w:r>
      <w:r>
        <w:rPr>
          <w:rFonts w:hAnsi="宋体" w:cs="宋体" w:hint="eastAsia"/>
          <w:szCs w:val="21"/>
        </w:rPr>
        <w:t>回注水处理工艺流程图</w:t>
      </w:r>
    </w:p>
    <w:p w14:paraId="261A8C13" w14:textId="77777777" w:rsidR="0014798F" w:rsidRDefault="00FE0155">
      <w:pPr>
        <w:pStyle w:val="ab"/>
        <w:autoSpaceDE/>
        <w:autoSpaceDN/>
        <w:spacing w:line="276" w:lineRule="auto"/>
        <w:ind w:firstLineChars="0" w:firstLine="0"/>
        <w:rPr>
          <w:rFonts w:ascii="Times New Roman"/>
          <w:kern w:val="2"/>
          <w:szCs w:val="22"/>
        </w:rPr>
      </w:pPr>
      <w:r>
        <w:rPr>
          <w:rFonts w:ascii="Times New Roman" w:hint="eastAsia"/>
          <w:kern w:val="2"/>
          <w:szCs w:val="22"/>
        </w:rPr>
        <w:t xml:space="preserve">7.2.3.2 </w:t>
      </w:r>
      <w:r>
        <w:rPr>
          <w:rFonts w:ascii="Times New Roman" w:hint="eastAsia"/>
          <w:kern w:val="2"/>
          <w:szCs w:val="22"/>
        </w:rPr>
        <w:t>自然除油工艺。自然沉淀装置包括平流隔油池、斜板沉降池等多种设备。设计时需要考虑多个参数，如分隔数、有效池长、池总高度、刮板间距、高度和移动速度等。</w:t>
      </w:r>
    </w:p>
    <w:p w14:paraId="261A8C14" w14:textId="77777777" w:rsidR="0014798F" w:rsidRDefault="00FE0155">
      <w:pPr>
        <w:pStyle w:val="ab"/>
        <w:autoSpaceDE/>
        <w:autoSpaceDN/>
        <w:spacing w:line="276" w:lineRule="auto"/>
        <w:ind w:firstLineChars="0" w:firstLine="0"/>
        <w:rPr>
          <w:rFonts w:ascii="Times New Roman"/>
          <w:kern w:val="2"/>
          <w:szCs w:val="22"/>
        </w:rPr>
      </w:pPr>
      <w:r>
        <w:rPr>
          <w:rFonts w:ascii="Times New Roman" w:hint="eastAsia"/>
          <w:kern w:val="2"/>
          <w:szCs w:val="22"/>
        </w:rPr>
        <w:t xml:space="preserve">7.2.3.3 </w:t>
      </w:r>
      <w:r>
        <w:rPr>
          <w:rFonts w:ascii="Times New Roman" w:hint="eastAsia"/>
          <w:kern w:val="2"/>
          <w:szCs w:val="22"/>
        </w:rPr>
        <w:t>气浮选工艺在污水处理过程中，气浮选是关键工艺。该工艺涉及多种设备，如压力容器、溶解气释放装置和气浮分离装置，通过协调配合，确保污水的正常处理。</w:t>
      </w:r>
    </w:p>
    <w:p w14:paraId="261A8C15" w14:textId="77777777" w:rsidR="0014798F" w:rsidRDefault="00FE0155">
      <w:pPr>
        <w:pStyle w:val="ab"/>
        <w:autoSpaceDE/>
        <w:autoSpaceDN/>
        <w:spacing w:line="276" w:lineRule="auto"/>
        <w:ind w:firstLineChars="0" w:firstLine="0"/>
        <w:rPr>
          <w:rFonts w:ascii="Times New Roman"/>
          <w:kern w:val="2"/>
          <w:szCs w:val="22"/>
        </w:rPr>
      </w:pPr>
      <w:r>
        <w:rPr>
          <w:rFonts w:ascii="Times New Roman" w:hint="eastAsia"/>
          <w:kern w:val="2"/>
          <w:szCs w:val="22"/>
        </w:rPr>
        <w:t xml:space="preserve">7.2.3.4 </w:t>
      </w:r>
      <w:r>
        <w:rPr>
          <w:rFonts w:ascii="Times New Roman" w:hint="eastAsia"/>
          <w:kern w:val="2"/>
          <w:szCs w:val="22"/>
        </w:rPr>
        <w:t>过滤工艺在污水处理中也至关重要。建议采用</w:t>
      </w:r>
      <w:r>
        <w:rPr>
          <w:rFonts w:ascii="Times New Roman" w:hint="eastAsia"/>
          <w:kern w:val="2"/>
          <w:szCs w:val="22"/>
        </w:rPr>
        <w:t>GQL</w:t>
      </w:r>
      <w:r>
        <w:rPr>
          <w:rFonts w:ascii="Times New Roman" w:hint="eastAsia"/>
          <w:kern w:val="2"/>
          <w:szCs w:val="22"/>
        </w:rPr>
        <w:t>改性纤维球过滤系统。改性纤维球滤料具有良好的可压缩性，与含油污水接触时，能与水分子形成保护膜，提升过滤效果。</w:t>
      </w:r>
    </w:p>
    <w:p w14:paraId="261A8C16" w14:textId="77777777" w:rsidR="0014798F" w:rsidRDefault="00FE0155">
      <w:pPr>
        <w:pStyle w:val="a"/>
        <w:tabs>
          <w:tab w:val="left" w:pos="9355"/>
        </w:tabs>
        <w:outlineLvl w:val="0"/>
        <w:rPr>
          <w:rFonts w:ascii="Times New Roman"/>
        </w:rPr>
      </w:pPr>
      <w:bookmarkStart w:id="161" w:name="_Toc25290"/>
      <w:r>
        <w:rPr>
          <w:rFonts w:ascii="Times New Roman" w:hint="eastAsia"/>
        </w:rPr>
        <w:t>环境管理与</w:t>
      </w:r>
      <w:r>
        <w:rPr>
          <w:rFonts w:ascii="Times New Roman"/>
        </w:rPr>
        <w:t>效果评估</w:t>
      </w:r>
      <w:bookmarkEnd w:id="161"/>
    </w:p>
    <w:p w14:paraId="261A8C17" w14:textId="77777777" w:rsidR="0014798F" w:rsidRDefault="00FE0155">
      <w:pPr>
        <w:pStyle w:val="ab"/>
        <w:spacing w:beforeLines="50" w:before="156" w:afterLines="50" w:after="156" w:line="276" w:lineRule="auto"/>
        <w:ind w:firstLineChars="0" w:firstLine="0"/>
        <w:outlineLvl w:val="1"/>
        <w:rPr>
          <w:rFonts w:ascii="Times New Roman" w:eastAsia="黑体"/>
          <w:szCs w:val="22"/>
        </w:rPr>
      </w:pPr>
      <w:bookmarkStart w:id="162" w:name="_Toc13684"/>
      <w:r>
        <w:rPr>
          <w:rFonts w:ascii="Times New Roman" w:eastAsia="黑体" w:hint="eastAsia"/>
          <w:szCs w:val="22"/>
        </w:rPr>
        <w:t xml:space="preserve">8.1 </w:t>
      </w:r>
      <w:r>
        <w:rPr>
          <w:rFonts w:ascii="Times New Roman" w:eastAsia="黑体" w:hint="eastAsia"/>
          <w:szCs w:val="22"/>
        </w:rPr>
        <w:t>日常隐患排查技术与制度</w:t>
      </w:r>
      <w:bookmarkEnd w:id="162"/>
    </w:p>
    <w:p w14:paraId="261A8C18" w14:textId="77777777" w:rsidR="0014798F" w:rsidRDefault="00FE0155">
      <w:pPr>
        <w:pStyle w:val="ab"/>
        <w:spacing w:beforeLines="50" w:before="156" w:afterLines="50" w:after="156" w:line="276" w:lineRule="auto"/>
        <w:ind w:firstLineChars="0" w:firstLine="0"/>
        <w:rPr>
          <w:rFonts w:ascii="Times New Roman"/>
          <w:kern w:val="2"/>
          <w:szCs w:val="22"/>
        </w:rPr>
      </w:pPr>
      <w:r>
        <w:rPr>
          <w:rFonts w:ascii="Times New Roman" w:hint="eastAsia"/>
          <w:kern w:val="2"/>
          <w:szCs w:val="22"/>
        </w:rPr>
        <w:t xml:space="preserve">8.1.1 </w:t>
      </w:r>
      <w:r>
        <w:rPr>
          <w:rFonts w:ascii="Times New Roman" w:hint="eastAsia"/>
          <w:kern w:val="2"/>
          <w:szCs w:val="22"/>
        </w:rPr>
        <w:t>日常隐患排查技术</w:t>
      </w:r>
    </w:p>
    <w:p w14:paraId="261A8C19"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8.1.1.1 </w:t>
      </w:r>
      <w:r>
        <w:rPr>
          <w:rFonts w:ascii="Times New Roman" w:hint="eastAsia"/>
          <w:kern w:val="2"/>
          <w:szCs w:val="22"/>
        </w:rPr>
        <w:t>油井泄露检查参照本指南</w:t>
      </w:r>
      <w:r>
        <w:rPr>
          <w:rFonts w:ascii="Times New Roman" w:hint="eastAsia"/>
          <w:kern w:val="2"/>
          <w:szCs w:val="22"/>
        </w:rPr>
        <w:t>7.1</w:t>
      </w:r>
      <w:r>
        <w:rPr>
          <w:rFonts w:ascii="Times New Roman" w:hint="eastAsia"/>
          <w:kern w:val="2"/>
          <w:szCs w:val="22"/>
        </w:rPr>
        <w:t>节相关技术内容执行。</w:t>
      </w:r>
    </w:p>
    <w:p w14:paraId="261A8C1A" w14:textId="77777777" w:rsidR="0014798F" w:rsidRDefault="00FE0155">
      <w:pPr>
        <w:pStyle w:val="ab"/>
        <w:spacing w:beforeLines="50" w:before="156" w:afterLines="50" w:after="156"/>
        <w:ind w:firstLineChars="0" w:firstLine="0"/>
        <w:rPr>
          <w:rFonts w:ascii="Times New Roman"/>
          <w:kern w:val="2"/>
          <w:szCs w:val="22"/>
        </w:rPr>
      </w:pPr>
      <w:r>
        <w:rPr>
          <w:rFonts w:ascii="Times New Roman" w:hint="eastAsia"/>
          <w:kern w:val="2"/>
          <w:szCs w:val="22"/>
        </w:rPr>
        <w:t xml:space="preserve">8.1.2 </w:t>
      </w:r>
      <w:r>
        <w:rPr>
          <w:rFonts w:ascii="Times New Roman" w:hint="eastAsia"/>
          <w:kern w:val="2"/>
          <w:szCs w:val="22"/>
        </w:rPr>
        <w:t>日常排查制度</w:t>
      </w:r>
    </w:p>
    <w:p w14:paraId="261A8C1B"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8.1.2.1 </w:t>
      </w:r>
      <w:r>
        <w:rPr>
          <w:rFonts w:ascii="Times New Roman" w:hint="eastAsia"/>
          <w:kern w:val="2"/>
          <w:szCs w:val="22"/>
        </w:rPr>
        <w:t>采油企业企业应根据</w:t>
      </w:r>
      <w:r>
        <w:rPr>
          <w:rFonts w:ascii="Times New Roman" w:hint="eastAsia"/>
          <w:kern w:val="2"/>
          <w:szCs w:val="22"/>
        </w:rPr>
        <w:t>HJ854</w:t>
      </w:r>
      <w:r>
        <w:rPr>
          <w:rFonts w:ascii="Times New Roman" w:hint="eastAsia"/>
          <w:kern w:val="2"/>
          <w:szCs w:val="22"/>
        </w:rPr>
        <w:t>标准和《隐患排查指南》附录</w:t>
      </w:r>
      <w:r>
        <w:rPr>
          <w:rFonts w:ascii="Times New Roman" w:hint="eastAsia"/>
          <w:kern w:val="2"/>
          <w:szCs w:val="22"/>
        </w:rPr>
        <w:t>A</w:t>
      </w:r>
      <w:r>
        <w:rPr>
          <w:rFonts w:ascii="Times New Roman" w:hint="eastAsia"/>
          <w:kern w:val="2"/>
          <w:szCs w:val="22"/>
        </w:rPr>
        <w:t>的相关要求，对重点场所和设施设备的土壤污染预防设施及措施进行排查。此外，采油期间产生的各类废物贮存间的排查应按照</w:t>
      </w:r>
      <w:r>
        <w:rPr>
          <w:rFonts w:ascii="Times New Roman" w:hint="eastAsia"/>
          <w:kern w:val="2"/>
          <w:szCs w:val="22"/>
        </w:rPr>
        <w:t>GB 18597</w:t>
      </w:r>
      <w:r>
        <w:rPr>
          <w:rFonts w:ascii="Times New Roman" w:hint="eastAsia"/>
          <w:kern w:val="2"/>
          <w:szCs w:val="22"/>
        </w:rPr>
        <w:t>标准进行。</w:t>
      </w:r>
    </w:p>
    <w:p w14:paraId="261A8C1C" w14:textId="77777777" w:rsidR="0014798F" w:rsidRDefault="00FE0155">
      <w:pPr>
        <w:pStyle w:val="ab"/>
        <w:spacing w:line="276" w:lineRule="auto"/>
        <w:ind w:firstLineChars="0" w:firstLine="0"/>
        <w:rPr>
          <w:rFonts w:ascii="Times New Roman"/>
          <w:kern w:val="2"/>
          <w:szCs w:val="22"/>
        </w:rPr>
      </w:pPr>
      <w:r>
        <w:rPr>
          <w:rFonts w:ascii="Times New Roman" w:hint="eastAsia"/>
          <w:kern w:val="2"/>
          <w:szCs w:val="22"/>
        </w:rPr>
        <w:t xml:space="preserve">8.1.2.2 </w:t>
      </w:r>
      <w:r>
        <w:rPr>
          <w:rFonts w:ascii="Times New Roman" w:hint="eastAsia"/>
          <w:kern w:val="2"/>
          <w:szCs w:val="22"/>
        </w:rPr>
        <w:t>根据《重点监管单位土壤污染隐患排查指南（试行）》，企业在排查风险应该按照如下步骤进行。</w:t>
      </w:r>
    </w:p>
    <w:p w14:paraId="261A8C1D" w14:textId="77777777" w:rsidR="0014798F" w:rsidRDefault="00FE0155">
      <w:pPr>
        <w:pStyle w:val="ab"/>
        <w:spacing w:line="276" w:lineRule="auto"/>
        <w:rPr>
          <w:rFonts w:ascii="Times New Roman"/>
          <w:kern w:val="2"/>
          <w:szCs w:val="22"/>
        </w:rPr>
      </w:pPr>
      <w:r>
        <w:rPr>
          <w:rFonts w:ascii="Times New Roman" w:hint="eastAsia"/>
          <w:kern w:val="2"/>
          <w:szCs w:val="22"/>
        </w:rPr>
        <w:t>a</w:t>
      </w:r>
      <w:r>
        <w:rPr>
          <w:rFonts w:ascii="Times New Roman" w:hint="eastAsia"/>
          <w:kern w:val="2"/>
          <w:szCs w:val="22"/>
        </w:rPr>
        <w:t>）</w:t>
      </w:r>
      <w:r>
        <w:rPr>
          <w:rFonts w:ascii="Times New Roman"/>
          <w:kern w:val="2"/>
          <w:szCs w:val="22"/>
        </w:rPr>
        <w:t>确定排查范围。通过资料收集、人员访谈，确定重点场所和重点设施设备，即可能或易发生有毒有害物质渗漏、流失、扬散的场所和设施设备。</w:t>
      </w:r>
    </w:p>
    <w:p w14:paraId="261A8C1E" w14:textId="77777777" w:rsidR="0014798F" w:rsidRDefault="00FE0155">
      <w:pPr>
        <w:pStyle w:val="ab"/>
        <w:spacing w:line="276" w:lineRule="auto"/>
        <w:rPr>
          <w:rFonts w:ascii="Times New Roman"/>
          <w:kern w:val="2"/>
          <w:szCs w:val="22"/>
        </w:rPr>
      </w:pPr>
      <w:r>
        <w:rPr>
          <w:rFonts w:ascii="Times New Roman" w:hint="eastAsia"/>
          <w:kern w:val="2"/>
          <w:szCs w:val="22"/>
        </w:rPr>
        <w:t>b</w:t>
      </w:r>
      <w:r>
        <w:rPr>
          <w:rFonts w:ascii="Times New Roman"/>
          <w:kern w:val="2"/>
          <w:szCs w:val="22"/>
        </w:rPr>
        <w:t>）开展现场排查。土壤污染隐患取决于土壤污染预防设施设备（硬件）和管理措施（软件）的组合。针对重点场所和重点设施设备，排查土壤污染预防设施设备的配备和运行情况，有关预防土壤污染管理制度建立和执行情况，分析判断是否能有效防止和及时发现有毒有害物质渗漏、流失、扬散，并形成隐患排查台账。</w:t>
      </w:r>
    </w:p>
    <w:p w14:paraId="261A8C1F" w14:textId="77777777" w:rsidR="0014798F" w:rsidRDefault="00FE0155">
      <w:pPr>
        <w:pStyle w:val="ab"/>
        <w:spacing w:line="276" w:lineRule="auto"/>
        <w:rPr>
          <w:rFonts w:ascii="Times New Roman"/>
          <w:kern w:val="2"/>
          <w:szCs w:val="22"/>
        </w:rPr>
      </w:pPr>
      <w:r>
        <w:rPr>
          <w:rFonts w:ascii="Times New Roman" w:hint="eastAsia"/>
          <w:kern w:val="2"/>
          <w:szCs w:val="22"/>
        </w:rPr>
        <w:t>c</w:t>
      </w:r>
      <w:r>
        <w:rPr>
          <w:rFonts w:ascii="Times New Roman"/>
          <w:kern w:val="2"/>
          <w:szCs w:val="22"/>
        </w:rPr>
        <w:t>）落实隐患整改。根据隐患排查台账，制定整改方案，针对每个隐患提出具体整改措施，以及计划完成时间。整改方案应包括必要的设施设备提标改造或者管理整改措施。重点监管单位应按照整改方案进行隐患整改，形成隐患整改台账。</w:t>
      </w:r>
    </w:p>
    <w:p w14:paraId="261A8C20" w14:textId="77777777" w:rsidR="0014798F" w:rsidRDefault="00FE0155">
      <w:pPr>
        <w:pStyle w:val="ab"/>
        <w:spacing w:line="276" w:lineRule="auto"/>
        <w:rPr>
          <w:rFonts w:ascii="Times New Roman"/>
          <w:kern w:val="2"/>
          <w:szCs w:val="22"/>
        </w:rPr>
      </w:pPr>
      <w:r>
        <w:rPr>
          <w:rFonts w:ascii="Times New Roman" w:hint="eastAsia"/>
          <w:kern w:val="2"/>
          <w:szCs w:val="22"/>
        </w:rPr>
        <w:t>d</w:t>
      </w:r>
      <w:r>
        <w:rPr>
          <w:rFonts w:ascii="Times New Roman"/>
          <w:kern w:val="2"/>
          <w:szCs w:val="22"/>
        </w:rPr>
        <w:t>）档案建立与应用。隐患排查活动结束后，应建立隐患排查档案并存档备查。隐患排查成果可用于指导重点监管单位优化土壤和地下水自行监测点位布设等相关工作。</w:t>
      </w:r>
    </w:p>
    <w:p w14:paraId="261A8C21" w14:textId="77777777" w:rsidR="0014798F" w:rsidRDefault="00FE0155">
      <w:pPr>
        <w:pStyle w:val="ab"/>
        <w:spacing w:beforeLines="50" w:before="156" w:afterLines="50" w:after="156" w:line="276" w:lineRule="auto"/>
        <w:ind w:firstLineChars="0" w:firstLine="0"/>
        <w:outlineLvl w:val="1"/>
        <w:rPr>
          <w:rFonts w:ascii="Times New Roman" w:eastAsia="黑体"/>
          <w:szCs w:val="22"/>
        </w:rPr>
      </w:pPr>
      <w:bookmarkStart w:id="163" w:name="_Toc29525"/>
      <w:r>
        <w:rPr>
          <w:rFonts w:ascii="Times New Roman" w:eastAsia="黑体" w:hint="eastAsia"/>
          <w:szCs w:val="22"/>
        </w:rPr>
        <w:lastRenderedPageBreak/>
        <w:t xml:space="preserve">8.2 </w:t>
      </w:r>
      <w:r>
        <w:rPr>
          <w:rFonts w:ascii="Times New Roman" w:eastAsia="黑体" w:hint="eastAsia"/>
          <w:szCs w:val="22"/>
        </w:rPr>
        <w:t>环境管理要求</w:t>
      </w:r>
      <w:bookmarkEnd w:id="163"/>
    </w:p>
    <w:p w14:paraId="261A8C22" w14:textId="77777777" w:rsidR="0014798F" w:rsidRDefault="00FE0155">
      <w:pPr>
        <w:pStyle w:val="1"/>
        <w:ind w:firstLineChars="200" w:firstLine="420"/>
      </w:pPr>
      <w:r>
        <w:rPr>
          <w:rFonts w:hint="eastAsia"/>
        </w:rPr>
        <w:t>根据控制技术实施后风险和效果评估结论，应根据</w:t>
      </w:r>
      <w:r>
        <w:t>石油开采区内石油污染状况、污染类型、污染方式</w:t>
      </w:r>
      <w:r>
        <w:rPr>
          <w:rFonts w:hint="eastAsia"/>
        </w:rPr>
        <w:t>，开展后期环境管理。环境监测点位布置与环境监测指标选择是重点内容。</w:t>
      </w:r>
    </w:p>
    <w:p w14:paraId="261A8C23" w14:textId="77777777" w:rsidR="0014798F" w:rsidRDefault="00FE0155">
      <w:pPr>
        <w:pStyle w:val="ab"/>
        <w:spacing w:beforeLines="50" w:before="156" w:afterLines="50" w:after="156" w:line="276" w:lineRule="auto"/>
        <w:ind w:firstLineChars="0" w:firstLine="0"/>
        <w:outlineLvl w:val="1"/>
        <w:rPr>
          <w:rFonts w:ascii="Times New Roman" w:eastAsia="黑体"/>
          <w:szCs w:val="22"/>
        </w:rPr>
      </w:pPr>
      <w:bookmarkStart w:id="164" w:name="_Toc18882"/>
      <w:r>
        <w:rPr>
          <w:rFonts w:ascii="Times New Roman" w:eastAsia="黑体" w:hint="eastAsia"/>
          <w:szCs w:val="22"/>
        </w:rPr>
        <w:t>8</w:t>
      </w:r>
      <w:r>
        <w:rPr>
          <w:rFonts w:ascii="Times New Roman" w:eastAsia="黑体"/>
          <w:szCs w:val="22"/>
        </w:rPr>
        <w:t>.</w:t>
      </w:r>
      <w:r>
        <w:rPr>
          <w:rFonts w:ascii="Times New Roman" w:eastAsia="黑体" w:hint="eastAsia"/>
          <w:szCs w:val="22"/>
        </w:rPr>
        <w:t xml:space="preserve">3 </w:t>
      </w:r>
      <w:r>
        <w:rPr>
          <w:rFonts w:ascii="Times New Roman" w:eastAsia="黑体" w:hint="eastAsia"/>
          <w:szCs w:val="22"/>
        </w:rPr>
        <w:t>环境</w:t>
      </w:r>
      <w:r>
        <w:rPr>
          <w:rFonts w:ascii="Times New Roman" w:eastAsia="黑体"/>
          <w:szCs w:val="22"/>
        </w:rPr>
        <w:t>监测点位</w:t>
      </w:r>
      <w:bookmarkEnd w:id="164"/>
    </w:p>
    <w:p w14:paraId="261A8C24" w14:textId="77777777" w:rsidR="0014798F" w:rsidRDefault="00FE0155">
      <w:pPr>
        <w:spacing w:beforeLines="50" w:before="156" w:afterLines="50" w:after="156"/>
        <w:rPr>
          <w:szCs w:val="21"/>
        </w:rPr>
      </w:pPr>
      <w:r>
        <w:rPr>
          <w:rFonts w:hint="eastAsia"/>
          <w:szCs w:val="21"/>
        </w:rPr>
        <w:t>8</w:t>
      </w:r>
      <w:r>
        <w:rPr>
          <w:szCs w:val="21"/>
        </w:rPr>
        <w:t>.</w:t>
      </w:r>
      <w:r>
        <w:rPr>
          <w:rFonts w:hint="eastAsia"/>
          <w:szCs w:val="21"/>
        </w:rPr>
        <w:t>3</w:t>
      </w:r>
      <w:r>
        <w:rPr>
          <w:szCs w:val="21"/>
        </w:rPr>
        <w:t>.1</w:t>
      </w:r>
      <w:r>
        <w:rPr>
          <w:szCs w:val="21"/>
        </w:rPr>
        <w:t>布置原则</w:t>
      </w:r>
    </w:p>
    <w:p w14:paraId="261A8C25" w14:textId="77777777" w:rsidR="0014798F" w:rsidRDefault="00FE0155">
      <w:pPr>
        <w:pStyle w:val="1"/>
        <w:spacing w:line="300" w:lineRule="auto"/>
        <w:ind w:firstLine="0"/>
      </w:pPr>
      <w:r>
        <w:rPr>
          <w:rFonts w:hint="eastAsia"/>
          <w:lang w:val="en-US"/>
        </w:rPr>
        <w:t>8.3.1.1</w:t>
      </w:r>
      <w:r>
        <w:t>监测点位的布设应遵循不影响正常生产且不造成安全隐患与二次污染的原则。</w:t>
      </w:r>
    </w:p>
    <w:p w14:paraId="261A8C26" w14:textId="77777777" w:rsidR="0014798F" w:rsidRDefault="00FE0155">
      <w:pPr>
        <w:pStyle w:val="1"/>
        <w:spacing w:line="300" w:lineRule="auto"/>
        <w:ind w:firstLine="0"/>
      </w:pPr>
      <w:r>
        <w:rPr>
          <w:rFonts w:hint="eastAsia"/>
          <w:lang w:val="en-US"/>
        </w:rPr>
        <w:t>8.3.1.2</w:t>
      </w:r>
      <w:r>
        <w:t>点位应尽量接近重点单元内存在土壤污染隐患的重点场所或重点设施设备，重点场所或重点设施设备占地面积较大时，应尽量接近该场所或设施设备内最有可能受到污染物渗漏、流失、扬散等途径影响的隐患点。</w:t>
      </w:r>
    </w:p>
    <w:p w14:paraId="261A8C27" w14:textId="77777777" w:rsidR="0014798F" w:rsidRDefault="00FE0155">
      <w:pPr>
        <w:pStyle w:val="1"/>
        <w:spacing w:line="300" w:lineRule="auto"/>
        <w:ind w:firstLine="0"/>
      </w:pPr>
      <w:r>
        <w:rPr>
          <w:rFonts w:hint="eastAsia"/>
          <w:lang w:val="en-US"/>
        </w:rPr>
        <w:t>8.3.1.3</w:t>
      </w:r>
      <w:r>
        <w:t>根据地资料，目标采样层无土壤可采或地下水埋藏条件不适宜采样的区域，可不进行相应监测，但应在监测报告中提供地勘资料并予以说明。</w:t>
      </w:r>
    </w:p>
    <w:p w14:paraId="261A8C28" w14:textId="77777777" w:rsidR="0014798F" w:rsidRDefault="00FE0155">
      <w:pPr>
        <w:spacing w:beforeLines="50" w:before="156" w:afterLines="50" w:after="156"/>
        <w:rPr>
          <w:szCs w:val="21"/>
        </w:rPr>
      </w:pPr>
      <w:r>
        <w:rPr>
          <w:rFonts w:hint="eastAsia"/>
          <w:szCs w:val="21"/>
        </w:rPr>
        <w:t>8</w:t>
      </w:r>
      <w:r>
        <w:rPr>
          <w:szCs w:val="21"/>
        </w:rPr>
        <w:t>.</w:t>
      </w:r>
      <w:r>
        <w:rPr>
          <w:rFonts w:hint="eastAsia"/>
          <w:szCs w:val="21"/>
        </w:rPr>
        <w:t>3</w:t>
      </w:r>
      <w:r>
        <w:rPr>
          <w:szCs w:val="21"/>
        </w:rPr>
        <w:t>.2</w:t>
      </w:r>
      <w:r>
        <w:rPr>
          <w:rFonts w:hint="eastAsia"/>
          <w:szCs w:val="21"/>
        </w:rPr>
        <w:t xml:space="preserve"> </w:t>
      </w:r>
      <w:r>
        <w:rPr>
          <w:szCs w:val="21"/>
        </w:rPr>
        <w:t>土壤监测点</w:t>
      </w:r>
    </w:p>
    <w:p w14:paraId="261A8C29" w14:textId="77777777" w:rsidR="0014798F" w:rsidRDefault="00FE0155">
      <w:pPr>
        <w:pStyle w:val="1"/>
        <w:ind w:firstLine="0"/>
      </w:pPr>
      <w:r>
        <w:rPr>
          <w:rFonts w:hint="eastAsia"/>
          <w:szCs w:val="22"/>
          <w:lang w:val="en-US"/>
        </w:rPr>
        <w:t>8</w:t>
      </w:r>
      <w:r>
        <w:rPr>
          <w:szCs w:val="22"/>
        </w:rPr>
        <w:t>.</w:t>
      </w:r>
      <w:r>
        <w:rPr>
          <w:rFonts w:hint="eastAsia"/>
          <w:szCs w:val="22"/>
          <w:lang w:val="en-US"/>
        </w:rPr>
        <w:t>3</w:t>
      </w:r>
      <w:r>
        <w:rPr>
          <w:szCs w:val="22"/>
        </w:rPr>
        <w:t>.2</w:t>
      </w:r>
      <w:r>
        <w:rPr>
          <w:rFonts w:hint="eastAsia"/>
          <w:szCs w:val="22"/>
          <w:lang w:val="en-US"/>
        </w:rPr>
        <w:t xml:space="preserve">.1 </w:t>
      </w:r>
      <w:r>
        <w:t>监测点位置及数量</w:t>
      </w:r>
    </w:p>
    <w:p w14:paraId="261A8C2A" w14:textId="77777777" w:rsidR="0014798F" w:rsidRDefault="00FE0155">
      <w:pPr>
        <w:pStyle w:val="1"/>
        <w:ind w:firstLineChars="200" w:firstLine="420"/>
      </w:pPr>
      <w:r>
        <w:t>每个隐蔽性重点设施设备周边原则上均应布设至少</w:t>
      </w:r>
      <w:r>
        <w:t>2</w:t>
      </w:r>
      <w:r>
        <w:t>个深层土壤监测点，单元内部或周边还应布设至少</w:t>
      </w:r>
      <w:r>
        <w:t>2</w:t>
      </w:r>
      <w:r>
        <w:t>个表层土壤监测点。</w:t>
      </w:r>
    </w:p>
    <w:p w14:paraId="261A8C2B" w14:textId="77777777" w:rsidR="0014798F" w:rsidRDefault="00FE0155">
      <w:pPr>
        <w:pStyle w:val="1"/>
        <w:ind w:firstLineChars="200" w:firstLine="420"/>
      </w:pPr>
      <w:r>
        <w:t>单元内部或周边原则上均应布设至少</w:t>
      </w:r>
      <w:r>
        <w:t>2</w:t>
      </w:r>
      <w:r>
        <w:t>个表层土壤监测点，具体位置及数量可根据单元大小或单元内重点场所或重点设施设备的数量及分布等实际情况适当调整。监测点原则上应布设在土壤裸露处，并兼顾考虑设置在雨水易于汇流和积聚的区域，污染途径包含扬散的单元还应结合污染物主要沉降位置确定点位。</w:t>
      </w:r>
    </w:p>
    <w:p w14:paraId="261A8C2C" w14:textId="77777777" w:rsidR="0014798F" w:rsidRDefault="00FE0155">
      <w:pPr>
        <w:pStyle w:val="1"/>
        <w:ind w:firstLine="0"/>
      </w:pPr>
      <w:r>
        <w:rPr>
          <w:rFonts w:hint="eastAsia"/>
          <w:szCs w:val="22"/>
          <w:lang w:val="en-US"/>
        </w:rPr>
        <w:t>8</w:t>
      </w:r>
      <w:r>
        <w:rPr>
          <w:szCs w:val="22"/>
        </w:rPr>
        <w:t>.</w:t>
      </w:r>
      <w:r>
        <w:rPr>
          <w:rFonts w:hint="eastAsia"/>
          <w:szCs w:val="22"/>
          <w:lang w:val="en-US"/>
        </w:rPr>
        <w:t>3</w:t>
      </w:r>
      <w:r>
        <w:rPr>
          <w:szCs w:val="22"/>
        </w:rPr>
        <w:t>.2</w:t>
      </w:r>
      <w:r>
        <w:rPr>
          <w:rFonts w:hint="eastAsia"/>
          <w:szCs w:val="22"/>
          <w:lang w:val="en-US"/>
        </w:rPr>
        <w:t xml:space="preserve">.2 </w:t>
      </w:r>
      <w:r>
        <w:t>采样深度</w:t>
      </w:r>
    </w:p>
    <w:p w14:paraId="261A8C2D" w14:textId="77777777" w:rsidR="0014798F" w:rsidRDefault="00FE0155">
      <w:pPr>
        <w:pStyle w:val="1"/>
        <w:ind w:firstLineChars="200" w:firstLine="420"/>
      </w:pPr>
      <w:r>
        <w:t>深层土壤监测点采样深度应略低于其对应的隐蔽性重点设施设备底部与土壤接触面。下游</w:t>
      </w:r>
      <w:r>
        <w:t>50 m</w:t>
      </w:r>
      <w:r>
        <w:t>范围内设有地下水监测井并按照本标准要求开展地下水监测的单元可不布设深层土壤监测点。</w:t>
      </w:r>
    </w:p>
    <w:p w14:paraId="261A8C2E" w14:textId="77777777" w:rsidR="0014798F" w:rsidRDefault="00FE0155">
      <w:pPr>
        <w:pStyle w:val="1"/>
        <w:ind w:firstLineChars="200" w:firstLine="420"/>
      </w:pPr>
      <w:r>
        <w:t>表层土壤监测点采样深度应为</w:t>
      </w:r>
      <w:r>
        <w:t>0~0.5 m</w:t>
      </w:r>
      <w:r>
        <w:t>。单元内部及周边</w:t>
      </w:r>
      <w:r>
        <w:t>25m</w:t>
      </w:r>
      <w:r>
        <w:t>范围内地面已全部采取无缝硬化或其他有效防渗措施，无裸露土壤的，可不布设表层土壤监测点，但应在监测报告中提供相应的影像记录并予以说明。</w:t>
      </w:r>
    </w:p>
    <w:p w14:paraId="261A8C2F" w14:textId="77777777" w:rsidR="0014798F" w:rsidRDefault="00FE0155">
      <w:pPr>
        <w:spacing w:beforeLines="50" w:before="156" w:afterLines="50" w:after="156"/>
        <w:rPr>
          <w:szCs w:val="21"/>
        </w:rPr>
      </w:pPr>
      <w:r>
        <w:rPr>
          <w:rFonts w:hint="eastAsia"/>
          <w:szCs w:val="21"/>
        </w:rPr>
        <w:t>8</w:t>
      </w:r>
      <w:r>
        <w:rPr>
          <w:szCs w:val="21"/>
        </w:rPr>
        <w:t>.</w:t>
      </w:r>
      <w:r>
        <w:rPr>
          <w:rFonts w:hint="eastAsia"/>
          <w:szCs w:val="21"/>
        </w:rPr>
        <w:t>3</w:t>
      </w:r>
      <w:r>
        <w:rPr>
          <w:szCs w:val="21"/>
        </w:rPr>
        <w:t>.3</w:t>
      </w:r>
      <w:r>
        <w:rPr>
          <w:rFonts w:hint="eastAsia"/>
          <w:szCs w:val="21"/>
        </w:rPr>
        <w:t xml:space="preserve"> </w:t>
      </w:r>
      <w:r>
        <w:rPr>
          <w:szCs w:val="21"/>
        </w:rPr>
        <w:t>地下水监测井</w:t>
      </w:r>
    </w:p>
    <w:p w14:paraId="261A8C30" w14:textId="77777777" w:rsidR="0014798F" w:rsidRDefault="00FE0155">
      <w:pPr>
        <w:pStyle w:val="1"/>
        <w:ind w:firstLine="0"/>
      </w:pPr>
      <w:r>
        <w:rPr>
          <w:rFonts w:hint="eastAsia"/>
          <w:szCs w:val="21"/>
          <w:lang w:val="en-US"/>
        </w:rPr>
        <w:t>8</w:t>
      </w:r>
      <w:r>
        <w:rPr>
          <w:szCs w:val="21"/>
        </w:rPr>
        <w:t>.</w:t>
      </w:r>
      <w:r>
        <w:rPr>
          <w:rFonts w:hint="eastAsia"/>
          <w:szCs w:val="21"/>
          <w:lang w:val="en-US"/>
        </w:rPr>
        <w:t>3</w:t>
      </w:r>
      <w:r>
        <w:rPr>
          <w:szCs w:val="21"/>
        </w:rPr>
        <w:t>.3</w:t>
      </w:r>
      <w:r>
        <w:rPr>
          <w:rFonts w:hint="eastAsia"/>
          <w:szCs w:val="21"/>
          <w:lang w:val="en-US"/>
        </w:rPr>
        <w:t xml:space="preserve">.1 </w:t>
      </w:r>
      <w:r>
        <w:t>对照点</w:t>
      </w:r>
    </w:p>
    <w:p w14:paraId="261A8C31" w14:textId="77777777" w:rsidR="0014798F" w:rsidRDefault="00FE0155">
      <w:pPr>
        <w:pStyle w:val="1"/>
        <w:ind w:firstLineChars="200" w:firstLine="420"/>
      </w:pPr>
      <w:r>
        <w:t>原则上应布设至少</w:t>
      </w:r>
      <w:r>
        <w:t>2</w:t>
      </w:r>
      <w:r>
        <w:t>个地下水对照点。对照点布设在石油开采区地下水流向上游处，与污染物监测井设置在同一含水层，并应尽量保证不受生产过程影响。临近河流、湖泊和海洋等地下水流向可能发生季节性变化的区域可根据流向变化适当增加对照点数量。</w:t>
      </w:r>
    </w:p>
    <w:p w14:paraId="261A8C32" w14:textId="77777777" w:rsidR="0014798F" w:rsidRDefault="00FE0155">
      <w:pPr>
        <w:pStyle w:val="1"/>
        <w:ind w:firstLine="0"/>
      </w:pPr>
      <w:r>
        <w:rPr>
          <w:rFonts w:hint="eastAsia"/>
          <w:szCs w:val="21"/>
          <w:lang w:val="en-US"/>
        </w:rPr>
        <w:t>8</w:t>
      </w:r>
      <w:r>
        <w:rPr>
          <w:szCs w:val="21"/>
        </w:rPr>
        <w:t>.</w:t>
      </w:r>
      <w:r>
        <w:rPr>
          <w:rFonts w:hint="eastAsia"/>
          <w:szCs w:val="21"/>
          <w:lang w:val="en-US"/>
        </w:rPr>
        <w:t>3</w:t>
      </w:r>
      <w:r>
        <w:rPr>
          <w:szCs w:val="21"/>
        </w:rPr>
        <w:t>.3</w:t>
      </w:r>
      <w:r>
        <w:rPr>
          <w:rFonts w:hint="eastAsia"/>
          <w:szCs w:val="21"/>
          <w:lang w:val="en-US"/>
        </w:rPr>
        <w:t xml:space="preserve">.2 </w:t>
      </w:r>
      <w:r>
        <w:t>监测井位置及数量</w:t>
      </w:r>
    </w:p>
    <w:p w14:paraId="261A8C33" w14:textId="77777777" w:rsidR="0014798F" w:rsidRDefault="00FE0155">
      <w:pPr>
        <w:pStyle w:val="1"/>
        <w:ind w:firstLineChars="200" w:firstLine="420"/>
      </w:pPr>
      <w:r>
        <w:t>每个重点单元对应的地下水监测井不应少于</w:t>
      </w:r>
      <w:r>
        <w:t>2</w:t>
      </w:r>
      <w:r>
        <w:t>个。每个石油开采区地下水监测井（含对照点总数）原则上不应少于</w:t>
      </w:r>
      <w:r>
        <w:t>4</w:t>
      </w:r>
      <w:r>
        <w:t>个，且尽量避免在同一直线上。</w:t>
      </w:r>
    </w:p>
    <w:p w14:paraId="261A8C34" w14:textId="77777777" w:rsidR="0014798F" w:rsidRDefault="00FE0155">
      <w:pPr>
        <w:pStyle w:val="1"/>
        <w:ind w:firstLineChars="200" w:firstLine="420"/>
      </w:pPr>
      <w:r>
        <w:t>应根据重点单元内重点场所或重点设施设备的数量及分布确定该单元对应地下水监测井的位置和数量，监测井应布设在污染物运移路径的下游方向，原则上井的位置和数量应能捕捉到该</w:t>
      </w:r>
      <w:r>
        <w:lastRenderedPageBreak/>
        <w:t>单元内所有重点场所或重点设施设备可能产生的地下水污染。</w:t>
      </w:r>
    </w:p>
    <w:p w14:paraId="261A8C35" w14:textId="77777777" w:rsidR="0014798F" w:rsidRDefault="00FE0155">
      <w:pPr>
        <w:pStyle w:val="1"/>
        <w:ind w:firstLineChars="200" w:firstLine="420"/>
      </w:pPr>
      <w:r>
        <w:t>地面已采取了符合</w:t>
      </w:r>
      <w:r>
        <w:t>HJ610</w:t>
      </w:r>
      <w:r>
        <w:t>和</w:t>
      </w:r>
      <w:r>
        <w:t>HJ964</w:t>
      </w:r>
      <w:r>
        <w:t>相关技术要求的重点场所或重点设施设备可适当减少其所在单元内监测井数量，但不得少于</w:t>
      </w:r>
      <w:r>
        <w:t>2</w:t>
      </w:r>
      <w:r>
        <w:t>个监测井。</w:t>
      </w:r>
    </w:p>
    <w:p w14:paraId="261A8C36" w14:textId="77777777" w:rsidR="0014798F" w:rsidRDefault="00FE0155">
      <w:pPr>
        <w:pStyle w:val="1"/>
        <w:ind w:firstLineChars="200" w:firstLine="420"/>
      </w:pPr>
      <w:r>
        <w:t>石油开采区或邻近区域内现有的地下水监测井，如果符合本标准及</w:t>
      </w:r>
      <w:r>
        <w:t>HJ 164</w:t>
      </w:r>
      <w:r>
        <w:t>的筛选要求，可以作为地下水对照点或污染物监测井。</w:t>
      </w:r>
    </w:p>
    <w:p w14:paraId="261A8C37" w14:textId="77777777" w:rsidR="0014798F" w:rsidRDefault="00FE0155">
      <w:pPr>
        <w:pStyle w:val="1"/>
        <w:ind w:firstLineChars="200" w:firstLine="420"/>
      </w:pPr>
      <w:r>
        <w:t>监测井不宜变动，尽量保证地下水监测数据的连续性。</w:t>
      </w:r>
    </w:p>
    <w:p w14:paraId="261A8C38" w14:textId="77777777" w:rsidR="0014798F" w:rsidRDefault="00FE0155">
      <w:pPr>
        <w:pStyle w:val="ab"/>
        <w:spacing w:beforeLines="50" w:before="156" w:afterLines="50" w:after="156" w:line="276" w:lineRule="auto"/>
        <w:ind w:firstLineChars="0" w:firstLine="0"/>
        <w:outlineLvl w:val="1"/>
        <w:rPr>
          <w:rFonts w:ascii="Times New Roman" w:eastAsia="黑体"/>
          <w:szCs w:val="22"/>
        </w:rPr>
      </w:pPr>
      <w:bookmarkStart w:id="165" w:name="_Toc16705"/>
      <w:r>
        <w:rPr>
          <w:rFonts w:ascii="Times New Roman" w:eastAsia="黑体" w:hint="eastAsia"/>
          <w:szCs w:val="22"/>
        </w:rPr>
        <w:t>8</w:t>
      </w:r>
      <w:r>
        <w:rPr>
          <w:rFonts w:ascii="Times New Roman" w:eastAsia="黑体"/>
          <w:szCs w:val="22"/>
        </w:rPr>
        <w:t>.</w:t>
      </w:r>
      <w:r>
        <w:rPr>
          <w:rFonts w:ascii="Times New Roman" w:eastAsia="黑体" w:hint="eastAsia"/>
          <w:szCs w:val="22"/>
        </w:rPr>
        <w:t xml:space="preserve">4 </w:t>
      </w:r>
      <w:r>
        <w:rPr>
          <w:rFonts w:ascii="Times New Roman" w:eastAsia="黑体" w:hint="eastAsia"/>
          <w:szCs w:val="22"/>
        </w:rPr>
        <w:t>环境</w:t>
      </w:r>
      <w:r>
        <w:rPr>
          <w:rFonts w:ascii="Times New Roman" w:eastAsia="黑体"/>
          <w:szCs w:val="22"/>
        </w:rPr>
        <w:t>监测指标</w:t>
      </w:r>
      <w:bookmarkEnd w:id="165"/>
    </w:p>
    <w:p w14:paraId="261A8C39" w14:textId="77777777" w:rsidR="0014798F" w:rsidRDefault="00FE0155">
      <w:pPr>
        <w:spacing w:beforeLines="50" w:before="156" w:afterLines="50" w:after="156"/>
        <w:rPr>
          <w:szCs w:val="21"/>
        </w:rPr>
      </w:pPr>
      <w:r>
        <w:rPr>
          <w:rFonts w:hint="eastAsia"/>
          <w:szCs w:val="21"/>
        </w:rPr>
        <w:t>8</w:t>
      </w:r>
      <w:r>
        <w:rPr>
          <w:szCs w:val="21"/>
        </w:rPr>
        <w:t>.</w:t>
      </w:r>
      <w:r>
        <w:rPr>
          <w:rFonts w:hint="eastAsia"/>
          <w:szCs w:val="21"/>
        </w:rPr>
        <w:t>4</w:t>
      </w:r>
      <w:r>
        <w:rPr>
          <w:szCs w:val="21"/>
        </w:rPr>
        <w:t>.1</w:t>
      </w:r>
      <w:r>
        <w:rPr>
          <w:rFonts w:hint="eastAsia"/>
          <w:szCs w:val="21"/>
        </w:rPr>
        <w:t xml:space="preserve"> </w:t>
      </w:r>
      <w:r>
        <w:rPr>
          <w:szCs w:val="21"/>
        </w:rPr>
        <w:t>初次监测</w:t>
      </w:r>
    </w:p>
    <w:p w14:paraId="261A8C3A" w14:textId="77777777" w:rsidR="0014798F" w:rsidRDefault="00FE0155">
      <w:pPr>
        <w:pStyle w:val="1"/>
        <w:ind w:firstLineChars="200" w:firstLine="420"/>
      </w:pPr>
      <w:r>
        <w:t>原则上所有土壤监测点的监测指标至少应包括</w:t>
      </w:r>
      <w:r>
        <w:t>GB 36600</w:t>
      </w:r>
      <w:r>
        <w:t>中基本项目，地下水监测井的监测指标至少应包括</w:t>
      </w:r>
      <w:r>
        <w:t>GB/T 14848</w:t>
      </w:r>
      <w:r>
        <w:t>中常规指标（微生物指标、放射性指标除外）。</w:t>
      </w:r>
    </w:p>
    <w:p w14:paraId="261A8C3B" w14:textId="77777777" w:rsidR="0014798F" w:rsidRDefault="00FE0155">
      <w:pPr>
        <w:pStyle w:val="1"/>
        <w:ind w:firstLineChars="200" w:firstLine="420"/>
      </w:pPr>
      <w:r>
        <w:t>石油开采区内任何重点单元涉及上述范围外的关注污染物，应根据其土壤或地下水的污染特性，将其纳入石油开采区内所有土壤或地下水监测点的初次监测指标。关注污染物一般包括：</w:t>
      </w:r>
    </w:p>
    <w:p w14:paraId="261A8C3C" w14:textId="77777777" w:rsidR="0014798F" w:rsidRDefault="00FE0155">
      <w:pPr>
        <w:pStyle w:val="1"/>
        <w:ind w:firstLine="0"/>
      </w:pPr>
      <w:r>
        <w:rPr>
          <w:rFonts w:hint="eastAsia"/>
          <w:szCs w:val="22"/>
          <w:lang w:val="en-US"/>
        </w:rPr>
        <w:t>8</w:t>
      </w:r>
      <w:r>
        <w:rPr>
          <w:szCs w:val="22"/>
        </w:rPr>
        <w:t>.</w:t>
      </w:r>
      <w:r>
        <w:rPr>
          <w:rFonts w:hint="eastAsia"/>
          <w:szCs w:val="22"/>
          <w:lang w:val="en-US"/>
        </w:rPr>
        <w:t>4</w:t>
      </w:r>
      <w:r>
        <w:rPr>
          <w:szCs w:val="22"/>
        </w:rPr>
        <w:t>.1</w:t>
      </w:r>
      <w:r>
        <w:rPr>
          <w:rFonts w:hint="eastAsia"/>
          <w:szCs w:val="22"/>
          <w:lang w:val="en-US"/>
        </w:rPr>
        <w:t xml:space="preserve">.1 </w:t>
      </w:r>
      <w:r>
        <w:t>石油开采区环境影响评价文件及其批复中确定的土壤和地下水特征因子；</w:t>
      </w:r>
    </w:p>
    <w:p w14:paraId="261A8C3D" w14:textId="77777777" w:rsidR="0014798F" w:rsidRDefault="00FE0155">
      <w:pPr>
        <w:pStyle w:val="1"/>
        <w:ind w:firstLine="0"/>
      </w:pPr>
      <w:r>
        <w:rPr>
          <w:rFonts w:hint="eastAsia"/>
          <w:szCs w:val="22"/>
          <w:lang w:val="en-US"/>
        </w:rPr>
        <w:t>8</w:t>
      </w:r>
      <w:r>
        <w:rPr>
          <w:szCs w:val="22"/>
        </w:rPr>
        <w:t>.</w:t>
      </w:r>
      <w:r>
        <w:rPr>
          <w:rFonts w:hint="eastAsia"/>
          <w:szCs w:val="22"/>
          <w:lang w:val="en-US"/>
        </w:rPr>
        <w:t>4</w:t>
      </w:r>
      <w:r>
        <w:rPr>
          <w:szCs w:val="22"/>
        </w:rPr>
        <w:t>.1</w:t>
      </w:r>
      <w:r>
        <w:rPr>
          <w:rFonts w:hint="eastAsia"/>
          <w:szCs w:val="22"/>
          <w:lang w:val="en-US"/>
        </w:rPr>
        <w:t xml:space="preserve">.2 </w:t>
      </w:r>
      <w:r>
        <w:t>排污许可证等相关管理规定或生产企业执行的污染物排放（控制）标准中可能对土壤或地下水产生影响的污染物指标；</w:t>
      </w:r>
    </w:p>
    <w:p w14:paraId="261A8C3E" w14:textId="77777777" w:rsidR="0014798F" w:rsidRDefault="00FE0155">
      <w:pPr>
        <w:pStyle w:val="1"/>
        <w:ind w:firstLine="0"/>
      </w:pPr>
      <w:r>
        <w:rPr>
          <w:rFonts w:hint="eastAsia"/>
          <w:szCs w:val="22"/>
          <w:lang w:val="en-US"/>
        </w:rPr>
        <w:t>8</w:t>
      </w:r>
      <w:r>
        <w:rPr>
          <w:szCs w:val="22"/>
        </w:rPr>
        <w:t>.</w:t>
      </w:r>
      <w:r>
        <w:rPr>
          <w:rFonts w:hint="eastAsia"/>
          <w:szCs w:val="22"/>
          <w:lang w:val="en-US"/>
        </w:rPr>
        <w:t>4</w:t>
      </w:r>
      <w:r>
        <w:rPr>
          <w:szCs w:val="22"/>
        </w:rPr>
        <w:t>.1</w:t>
      </w:r>
      <w:r>
        <w:rPr>
          <w:rFonts w:hint="eastAsia"/>
          <w:szCs w:val="22"/>
          <w:lang w:val="en-US"/>
        </w:rPr>
        <w:t xml:space="preserve">.3 </w:t>
      </w:r>
      <w:r>
        <w:t>生产过程的原辅用料、生产工艺、中间及最终产品中可能对土壤或地下水产生影响的，已纳入有毒有害或优先控制污染物名录的污染物指标或其他有毒污染物指标：</w:t>
      </w:r>
    </w:p>
    <w:p w14:paraId="261A8C3F" w14:textId="77777777" w:rsidR="0014798F" w:rsidRDefault="00FE0155">
      <w:pPr>
        <w:pStyle w:val="1"/>
        <w:ind w:firstLine="0"/>
      </w:pPr>
      <w:r>
        <w:rPr>
          <w:rFonts w:hint="eastAsia"/>
          <w:szCs w:val="22"/>
          <w:lang w:val="en-US"/>
        </w:rPr>
        <w:t>8</w:t>
      </w:r>
      <w:r>
        <w:rPr>
          <w:szCs w:val="22"/>
        </w:rPr>
        <w:t>.</w:t>
      </w:r>
      <w:r>
        <w:rPr>
          <w:rFonts w:hint="eastAsia"/>
          <w:szCs w:val="22"/>
          <w:lang w:val="en-US"/>
        </w:rPr>
        <w:t>4</w:t>
      </w:r>
      <w:r>
        <w:rPr>
          <w:szCs w:val="22"/>
        </w:rPr>
        <w:t>.1</w:t>
      </w:r>
      <w:r>
        <w:rPr>
          <w:rFonts w:hint="eastAsia"/>
          <w:szCs w:val="22"/>
          <w:lang w:val="en-US"/>
        </w:rPr>
        <w:t xml:space="preserve">.4 </w:t>
      </w:r>
      <w:r>
        <w:t>上述污染物在土壤或地下水中转化或降解产生的污染物；</w:t>
      </w:r>
    </w:p>
    <w:p w14:paraId="261A8C40" w14:textId="77777777" w:rsidR="0014798F" w:rsidRDefault="00FE0155">
      <w:pPr>
        <w:pStyle w:val="1"/>
        <w:ind w:firstLine="0"/>
      </w:pPr>
      <w:r>
        <w:rPr>
          <w:rFonts w:hint="eastAsia"/>
          <w:szCs w:val="22"/>
          <w:lang w:val="en-US"/>
        </w:rPr>
        <w:t>8</w:t>
      </w:r>
      <w:r>
        <w:rPr>
          <w:szCs w:val="22"/>
        </w:rPr>
        <w:t>.</w:t>
      </w:r>
      <w:r>
        <w:rPr>
          <w:rFonts w:hint="eastAsia"/>
          <w:szCs w:val="22"/>
          <w:lang w:val="en-US"/>
        </w:rPr>
        <w:t>4</w:t>
      </w:r>
      <w:r>
        <w:rPr>
          <w:szCs w:val="22"/>
        </w:rPr>
        <w:t>.1</w:t>
      </w:r>
      <w:r>
        <w:rPr>
          <w:rFonts w:hint="eastAsia"/>
          <w:szCs w:val="22"/>
          <w:lang w:val="en-US"/>
        </w:rPr>
        <w:t xml:space="preserve">.5 </w:t>
      </w:r>
      <w:r>
        <w:t>涉及</w:t>
      </w:r>
      <w:r>
        <w:t>HJ164</w:t>
      </w:r>
      <w:r>
        <w:t>附录</w:t>
      </w:r>
      <w:r>
        <w:t>F</w:t>
      </w:r>
      <w:r>
        <w:t>中对应行业的特征项目（仅限地下水监测）。</w:t>
      </w:r>
    </w:p>
    <w:p w14:paraId="261A8C41" w14:textId="77777777" w:rsidR="0014798F" w:rsidRDefault="00FE0155">
      <w:pPr>
        <w:spacing w:beforeLines="50" w:before="156" w:afterLines="50" w:after="156"/>
        <w:rPr>
          <w:szCs w:val="21"/>
        </w:rPr>
      </w:pPr>
      <w:r>
        <w:rPr>
          <w:rFonts w:hint="eastAsia"/>
          <w:szCs w:val="21"/>
        </w:rPr>
        <w:t>8</w:t>
      </w:r>
      <w:r>
        <w:rPr>
          <w:szCs w:val="21"/>
        </w:rPr>
        <w:t>.</w:t>
      </w:r>
      <w:r>
        <w:rPr>
          <w:rFonts w:hint="eastAsia"/>
          <w:szCs w:val="21"/>
        </w:rPr>
        <w:t>4</w:t>
      </w:r>
      <w:r>
        <w:rPr>
          <w:szCs w:val="21"/>
        </w:rPr>
        <w:t>.2</w:t>
      </w:r>
      <w:r>
        <w:rPr>
          <w:rFonts w:hint="eastAsia"/>
          <w:szCs w:val="21"/>
        </w:rPr>
        <w:t xml:space="preserve"> </w:t>
      </w:r>
      <w:r>
        <w:rPr>
          <w:szCs w:val="21"/>
        </w:rPr>
        <w:t>后续监测</w:t>
      </w:r>
    </w:p>
    <w:p w14:paraId="261A8C42" w14:textId="77777777" w:rsidR="0014798F" w:rsidRDefault="00FE0155">
      <w:pPr>
        <w:pStyle w:val="1"/>
        <w:spacing w:line="300" w:lineRule="auto"/>
        <w:ind w:firstLineChars="200" w:firstLine="420"/>
      </w:pPr>
      <w:r>
        <w:t>后续监测按照重点单元确定监测指标，每个重点单元对应的监测指标至少应包括：</w:t>
      </w:r>
    </w:p>
    <w:p w14:paraId="261A8C43" w14:textId="77777777" w:rsidR="0014798F" w:rsidRDefault="00FE0155">
      <w:pPr>
        <w:pStyle w:val="1"/>
        <w:spacing w:line="300" w:lineRule="auto"/>
        <w:ind w:firstLine="0"/>
      </w:pPr>
      <w:r>
        <w:rPr>
          <w:rFonts w:hint="eastAsia"/>
          <w:szCs w:val="22"/>
          <w:lang w:val="en-US"/>
        </w:rPr>
        <w:t>8</w:t>
      </w:r>
      <w:r>
        <w:rPr>
          <w:szCs w:val="22"/>
        </w:rPr>
        <w:t>.</w:t>
      </w:r>
      <w:r>
        <w:rPr>
          <w:rFonts w:hint="eastAsia"/>
          <w:szCs w:val="22"/>
          <w:lang w:val="en-US"/>
        </w:rPr>
        <w:t>4</w:t>
      </w:r>
      <w:r>
        <w:rPr>
          <w:szCs w:val="22"/>
        </w:rPr>
        <w:t>.2</w:t>
      </w:r>
      <w:r>
        <w:rPr>
          <w:rFonts w:hint="eastAsia"/>
          <w:szCs w:val="22"/>
          <w:lang w:val="en-US"/>
        </w:rPr>
        <w:t xml:space="preserve">.1 </w:t>
      </w:r>
      <w:r>
        <w:t>该重点单元对应的任一土壤监测点或地下水监测井在前期监测中曾超标的污染物，受地质背景等因素影响造成超标的指标可不监测；</w:t>
      </w:r>
    </w:p>
    <w:p w14:paraId="261A8C44" w14:textId="77777777" w:rsidR="0014798F" w:rsidRDefault="00FE0155">
      <w:pPr>
        <w:pStyle w:val="1"/>
        <w:spacing w:line="300" w:lineRule="auto"/>
        <w:ind w:firstLine="0"/>
      </w:pPr>
      <w:r>
        <w:rPr>
          <w:rFonts w:hint="eastAsia"/>
          <w:szCs w:val="22"/>
          <w:lang w:val="en-US"/>
        </w:rPr>
        <w:t>8</w:t>
      </w:r>
      <w:r>
        <w:rPr>
          <w:szCs w:val="22"/>
        </w:rPr>
        <w:t>.</w:t>
      </w:r>
      <w:r>
        <w:rPr>
          <w:rFonts w:hint="eastAsia"/>
          <w:szCs w:val="22"/>
          <w:lang w:val="en-US"/>
        </w:rPr>
        <w:t>4</w:t>
      </w:r>
      <w:r>
        <w:rPr>
          <w:szCs w:val="22"/>
        </w:rPr>
        <w:t>.2</w:t>
      </w:r>
      <w:r>
        <w:rPr>
          <w:rFonts w:hint="eastAsia"/>
          <w:szCs w:val="22"/>
          <w:lang w:val="en-US"/>
        </w:rPr>
        <w:t xml:space="preserve">.2 </w:t>
      </w:r>
      <w:r>
        <w:t>该重点单元涉及的所有关注污染物。</w:t>
      </w:r>
    </w:p>
    <w:p w14:paraId="261A8C45" w14:textId="77777777" w:rsidR="0014798F" w:rsidRDefault="00FE0155">
      <w:pPr>
        <w:pStyle w:val="ab"/>
        <w:spacing w:line="300" w:lineRule="auto"/>
        <w:ind w:firstLineChars="0" w:firstLine="0"/>
        <w:rPr>
          <w:rFonts w:ascii="Times New Roman"/>
          <w:kern w:val="2"/>
          <w:szCs w:val="22"/>
        </w:rPr>
      </w:pPr>
      <w:r>
        <w:rPr>
          <w:rFonts w:ascii="Times New Roman" w:hint="eastAsia"/>
          <w:kern w:val="2"/>
          <w:szCs w:val="22"/>
        </w:rPr>
        <w:t>8</w:t>
      </w:r>
      <w:r>
        <w:rPr>
          <w:rFonts w:ascii="Times New Roman"/>
          <w:kern w:val="2"/>
          <w:szCs w:val="22"/>
        </w:rPr>
        <w:t>.</w:t>
      </w:r>
      <w:r>
        <w:rPr>
          <w:rFonts w:ascii="Times New Roman" w:hint="eastAsia"/>
          <w:kern w:val="2"/>
          <w:szCs w:val="22"/>
        </w:rPr>
        <w:t>4</w:t>
      </w:r>
      <w:r>
        <w:rPr>
          <w:rFonts w:ascii="Times New Roman"/>
          <w:kern w:val="2"/>
          <w:szCs w:val="22"/>
        </w:rPr>
        <w:t>.</w:t>
      </w:r>
      <w:r>
        <w:rPr>
          <w:rFonts w:ascii="Times New Roman" w:hint="eastAsia"/>
          <w:kern w:val="2"/>
          <w:szCs w:val="22"/>
        </w:rPr>
        <w:t xml:space="preserve">3 </w:t>
      </w:r>
      <w:r>
        <w:rPr>
          <w:rFonts w:ascii="Times New Roman"/>
          <w:kern w:val="2"/>
          <w:szCs w:val="22"/>
        </w:rPr>
        <w:t>监测频次</w:t>
      </w:r>
    </w:p>
    <w:p w14:paraId="261A8C46" w14:textId="77777777" w:rsidR="0014798F" w:rsidRDefault="00FE0155">
      <w:pPr>
        <w:spacing w:line="300" w:lineRule="auto"/>
        <w:ind w:firstLineChars="200" w:firstLine="420"/>
        <w:rPr>
          <w:szCs w:val="21"/>
        </w:rPr>
      </w:pPr>
      <w:r>
        <w:rPr>
          <w:szCs w:val="21"/>
        </w:rPr>
        <w:t>自行监测的最低频次如</w:t>
      </w:r>
      <w:r>
        <w:rPr>
          <w:rFonts w:hint="eastAsia"/>
          <w:szCs w:val="21"/>
        </w:rPr>
        <w:t>表</w:t>
      </w:r>
      <w:r>
        <w:rPr>
          <w:rFonts w:hint="eastAsia"/>
          <w:szCs w:val="21"/>
        </w:rPr>
        <w:t>8-1</w:t>
      </w:r>
      <w:r>
        <w:rPr>
          <w:szCs w:val="21"/>
        </w:rPr>
        <w:t>所示。</w:t>
      </w:r>
    </w:p>
    <w:p w14:paraId="261A8C47" w14:textId="77777777" w:rsidR="0014798F" w:rsidRDefault="00FE0155">
      <w:pPr>
        <w:spacing w:line="300" w:lineRule="auto"/>
        <w:jc w:val="center"/>
        <w:rPr>
          <w:b/>
          <w:bCs/>
          <w:szCs w:val="21"/>
        </w:rPr>
      </w:pPr>
      <w:r>
        <w:rPr>
          <w:b/>
          <w:bCs/>
          <w:szCs w:val="21"/>
        </w:rPr>
        <w:t>表</w:t>
      </w:r>
      <w:r>
        <w:rPr>
          <w:rFonts w:hint="eastAsia"/>
          <w:b/>
          <w:bCs/>
          <w:szCs w:val="21"/>
        </w:rPr>
        <w:t>8</w:t>
      </w:r>
      <w:r>
        <w:rPr>
          <w:b/>
          <w:bCs/>
          <w:szCs w:val="21"/>
        </w:rPr>
        <w:t xml:space="preserve">-1  </w:t>
      </w:r>
      <w:r>
        <w:rPr>
          <w:b/>
          <w:bCs/>
          <w:szCs w:val="21"/>
        </w:rPr>
        <w:t>监测点监测频次一览表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2841"/>
        <w:gridCol w:w="2841"/>
      </w:tblGrid>
      <w:tr w:rsidR="0014798F" w14:paraId="261A8C4A" w14:textId="77777777">
        <w:trPr>
          <w:jc w:val="center"/>
        </w:trPr>
        <w:tc>
          <w:tcPr>
            <w:tcW w:w="5681" w:type="dxa"/>
            <w:gridSpan w:val="2"/>
            <w:shd w:val="clear" w:color="auto" w:fill="auto"/>
          </w:tcPr>
          <w:p w14:paraId="261A8C48" w14:textId="77777777" w:rsidR="0014798F" w:rsidRDefault="00FE0155">
            <w:pPr>
              <w:spacing w:line="300" w:lineRule="auto"/>
              <w:jc w:val="center"/>
              <w:rPr>
                <w:szCs w:val="21"/>
              </w:rPr>
            </w:pPr>
            <w:r>
              <w:rPr>
                <w:szCs w:val="21"/>
              </w:rPr>
              <w:t>监测对象</w:t>
            </w:r>
          </w:p>
        </w:tc>
        <w:tc>
          <w:tcPr>
            <w:tcW w:w="2841" w:type="dxa"/>
            <w:shd w:val="clear" w:color="auto" w:fill="auto"/>
          </w:tcPr>
          <w:p w14:paraId="261A8C49" w14:textId="77777777" w:rsidR="0014798F" w:rsidRDefault="00FE0155">
            <w:pPr>
              <w:spacing w:line="300" w:lineRule="auto"/>
              <w:jc w:val="center"/>
              <w:rPr>
                <w:szCs w:val="21"/>
              </w:rPr>
            </w:pPr>
            <w:r>
              <w:rPr>
                <w:szCs w:val="21"/>
              </w:rPr>
              <w:t>监测频次</w:t>
            </w:r>
          </w:p>
        </w:tc>
      </w:tr>
      <w:tr w:rsidR="0014798F" w14:paraId="261A8C4E" w14:textId="77777777">
        <w:trPr>
          <w:jc w:val="center"/>
        </w:trPr>
        <w:tc>
          <w:tcPr>
            <w:tcW w:w="2840" w:type="dxa"/>
            <w:vMerge w:val="restart"/>
            <w:shd w:val="clear" w:color="auto" w:fill="auto"/>
          </w:tcPr>
          <w:p w14:paraId="261A8C4B" w14:textId="77777777" w:rsidR="0014798F" w:rsidRDefault="00FE0155">
            <w:pPr>
              <w:spacing w:line="300" w:lineRule="auto"/>
              <w:jc w:val="center"/>
              <w:rPr>
                <w:szCs w:val="21"/>
              </w:rPr>
            </w:pPr>
            <w:r>
              <w:rPr>
                <w:szCs w:val="21"/>
              </w:rPr>
              <w:t>土壤</w:t>
            </w:r>
          </w:p>
        </w:tc>
        <w:tc>
          <w:tcPr>
            <w:tcW w:w="2841" w:type="dxa"/>
            <w:shd w:val="clear" w:color="auto" w:fill="auto"/>
          </w:tcPr>
          <w:p w14:paraId="261A8C4C" w14:textId="77777777" w:rsidR="0014798F" w:rsidRDefault="00FE0155">
            <w:pPr>
              <w:spacing w:line="300" w:lineRule="auto"/>
              <w:jc w:val="center"/>
              <w:rPr>
                <w:szCs w:val="21"/>
              </w:rPr>
            </w:pPr>
            <w:r>
              <w:rPr>
                <w:szCs w:val="21"/>
              </w:rPr>
              <w:t>表层土壤</w:t>
            </w:r>
          </w:p>
        </w:tc>
        <w:tc>
          <w:tcPr>
            <w:tcW w:w="2841" w:type="dxa"/>
            <w:shd w:val="clear" w:color="auto" w:fill="auto"/>
          </w:tcPr>
          <w:p w14:paraId="261A8C4D" w14:textId="77777777" w:rsidR="0014798F" w:rsidRDefault="00FE0155">
            <w:pPr>
              <w:spacing w:line="300" w:lineRule="auto"/>
              <w:jc w:val="center"/>
              <w:rPr>
                <w:szCs w:val="21"/>
              </w:rPr>
            </w:pPr>
            <w:r>
              <w:rPr>
                <w:szCs w:val="21"/>
              </w:rPr>
              <w:t>1</w:t>
            </w:r>
            <w:r>
              <w:rPr>
                <w:szCs w:val="21"/>
              </w:rPr>
              <w:t>年</w:t>
            </w:r>
          </w:p>
        </w:tc>
      </w:tr>
      <w:tr w:rsidR="0014798F" w14:paraId="261A8C52" w14:textId="77777777">
        <w:trPr>
          <w:jc w:val="center"/>
        </w:trPr>
        <w:tc>
          <w:tcPr>
            <w:tcW w:w="2840" w:type="dxa"/>
            <w:vMerge/>
            <w:shd w:val="clear" w:color="auto" w:fill="auto"/>
          </w:tcPr>
          <w:p w14:paraId="261A8C4F" w14:textId="77777777" w:rsidR="0014798F" w:rsidRDefault="0014798F">
            <w:pPr>
              <w:spacing w:line="300" w:lineRule="auto"/>
              <w:jc w:val="center"/>
              <w:rPr>
                <w:szCs w:val="21"/>
              </w:rPr>
            </w:pPr>
          </w:p>
        </w:tc>
        <w:tc>
          <w:tcPr>
            <w:tcW w:w="2841" w:type="dxa"/>
            <w:shd w:val="clear" w:color="auto" w:fill="auto"/>
          </w:tcPr>
          <w:p w14:paraId="261A8C50" w14:textId="77777777" w:rsidR="0014798F" w:rsidRDefault="00FE0155">
            <w:pPr>
              <w:spacing w:line="300" w:lineRule="auto"/>
              <w:jc w:val="center"/>
              <w:rPr>
                <w:szCs w:val="21"/>
              </w:rPr>
            </w:pPr>
            <w:r>
              <w:rPr>
                <w:szCs w:val="21"/>
              </w:rPr>
              <w:t>深层土壤</w:t>
            </w:r>
          </w:p>
        </w:tc>
        <w:tc>
          <w:tcPr>
            <w:tcW w:w="2841" w:type="dxa"/>
            <w:shd w:val="clear" w:color="auto" w:fill="auto"/>
          </w:tcPr>
          <w:p w14:paraId="261A8C51" w14:textId="77777777" w:rsidR="0014798F" w:rsidRDefault="00FE0155">
            <w:pPr>
              <w:spacing w:line="300" w:lineRule="auto"/>
              <w:jc w:val="center"/>
              <w:rPr>
                <w:szCs w:val="21"/>
              </w:rPr>
            </w:pPr>
            <w:r>
              <w:rPr>
                <w:szCs w:val="21"/>
              </w:rPr>
              <w:t>3</w:t>
            </w:r>
            <w:r>
              <w:rPr>
                <w:szCs w:val="21"/>
              </w:rPr>
              <w:t>年</w:t>
            </w:r>
          </w:p>
        </w:tc>
      </w:tr>
      <w:tr w:rsidR="0014798F" w14:paraId="261A8C56" w14:textId="77777777">
        <w:trPr>
          <w:jc w:val="center"/>
        </w:trPr>
        <w:tc>
          <w:tcPr>
            <w:tcW w:w="2840" w:type="dxa"/>
            <w:vMerge w:val="restart"/>
            <w:shd w:val="clear" w:color="auto" w:fill="auto"/>
          </w:tcPr>
          <w:p w14:paraId="261A8C53" w14:textId="77777777" w:rsidR="0014798F" w:rsidRDefault="00FE0155">
            <w:pPr>
              <w:spacing w:line="300" w:lineRule="auto"/>
              <w:jc w:val="center"/>
              <w:rPr>
                <w:szCs w:val="21"/>
              </w:rPr>
            </w:pPr>
            <w:r>
              <w:rPr>
                <w:szCs w:val="21"/>
              </w:rPr>
              <w:t>地下水</w:t>
            </w:r>
          </w:p>
        </w:tc>
        <w:tc>
          <w:tcPr>
            <w:tcW w:w="2841" w:type="dxa"/>
            <w:shd w:val="clear" w:color="auto" w:fill="auto"/>
          </w:tcPr>
          <w:p w14:paraId="261A8C54" w14:textId="77777777" w:rsidR="0014798F" w:rsidRDefault="00FE0155">
            <w:pPr>
              <w:spacing w:line="300" w:lineRule="auto"/>
              <w:jc w:val="center"/>
              <w:rPr>
                <w:szCs w:val="21"/>
              </w:rPr>
            </w:pPr>
            <w:r>
              <w:rPr>
                <w:szCs w:val="21"/>
              </w:rPr>
              <w:t>污染源单元</w:t>
            </w:r>
          </w:p>
        </w:tc>
        <w:tc>
          <w:tcPr>
            <w:tcW w:w="2841" w:type="dxa"/>
            <w:shd w:val="clear" w:color="auto" w:fill="auto"/>
          </w:tcPr>
          <w:p w14:paraId="261A8C55" w14:textId="77777777" w:rsidR="0014798F" w:rsidRDefault="00FE0155">
            <w:pPr>
              <w:spacing w:line="300" w:lineRule="auto"/>
              <w:jc w:val="center"/>
              <w:rPr>
                <w:szCs w:val="21"/>
              </w:rPr>
            </w:pPr>
            <w:r>
              <w:rPr>
                <w:szCs w:val="21"/>
              </w:rPr>
              <w:t>每季度</w:t>
            </w:r>
          </w:p>
        </w:tc>
      </w:tr>
      <w:tr w:rsidR="0014798F" w14:paraId="261A8C5A" w14:textId="77777777">
        <w:trPr>
          <w:jc w:val="center"/>
        </w:trPr>
        <w:tc>
          <w:tcPr>
            <w:tcW w:w="2840" w:type="dxa"/>
            <w:vMerge/>
            <w:shd w:val="clear" w:color="auto" w:fill="auto"/>
          </w:tcPr>
          <w:p w14:paraId="261A8C57" w14:textId="77777777" w:rsidR="0014798F" w:rsidRDefault="0014798F">
            <w:pPr>
              <w:spacing w:line="300" w:lineRule="auto"/>
              <w:jc w:val="center"/>
              <w:rPr>
                <w:szCs w:val="21"/>
              </w:rPr>
            </w:pPr>
          </w:p>
        </w:tc>
        <w:tc>
          <w:tcPr>
            <w:tcW w:w="2841" w:type="dxa"/>
            <w:shd w:val="clear" w:color="auto" w:fill="auto"/>
          </w:tcPr>
          <w:p w14:paraId="261A8C58" w14:textId="77777777" w:rsidR="0014798F" w:rsidRDefault="00FE0155">
            <w:pPr>
              <w:spacing w:line="300" w:lineRule="auto"/>
              <w:jc w:val="center"/>
              <w:rPr>
                <w:szCs w:val="21"/>
              </w:rPr>
            </w:pPr>
            <w:r>
              <w:rPr>
                <w:szCs w:val="21"/>
              </w:rPr>
              <w:t>非污染源单元</w:t>
            </w:r>
          </w:p>
        </w:tc>
        <w:tc>
          <w:tcPr>
            <w:tcW w:w="2841" w:type="dxa"/>
            <w:shd w:val="clear" w:color="auto" w:fill="auto"/>
          </w:tcPr>
          <w:p w14:paraId="261A8C59" w14:textId="77777777" w:rsidR="0014798F" w:rsidRDefault="00FE0155">
            <w:pPr>
              <w:spacing w:line="300" w:lineRule="auto"/>
              <w:jc w:val="center"/>
              <w:rPr>
                <w:szCs w:val="21"/>
              </w:rPr>
            </w:pPr>
            <w:r>
              <w:rPr>
                <w:szCs w:val="21"/>
              </w:rPr>
              <w:t>半年</w:t>
            </w:r>
          </w:p>
        </w:tc>
      </w:tr>
      <w:tr w:rsidR="0014798F" w14:paraId="261A8C5D" w14:textId="77777777">
        <w:trPr>
          <w:jc w:val="center"/>
        </w:trPr>
        <w:tc>
          <w:tcPr>
            <w:tcW w:w="8522" w:type="dxa"/>
            <w:gridSpan w:val="3"/>
            <w:shd w:val="clear" w:color="auto" w:fill="auto"/>
          </w:tcPr>
          <w:p w14:paraId="261A8C5B" w14:textId="77777777" w:rsidR="0014798F" w:rsidRDefault="00FE0155">
            <w:pPr>
              <w:spacing w:line="300" w:lineRule="auto"/>
              <w:rPr>
                <w:szCs w:val="21"/>
              </w:rPr>
            </w:pPr>
            <w:r>
              <w:rPr>
                <w:szCs w:val="21"/>
              </w:rPr>
              <w:t>注</w:t>
            </w:r>
            <w:r>
              <w:rPr>
                <w:szCs w:val="21"/>
              </w:rPr>
              <w:t>1</w:t>
            </w:r>
            <w:r>
              <w:rPr>
                <w:szCs w:val="21"/>
              </w:rPr>
              <w:t>：初次监测包括所有监测对象。</w:t>
            </w:r>
          </w:p>
          <w:p w14:paraId="261A8C5C" w14:textId="77777777" w:rsidR="0014798F" w:rsidRDefault="00FE0155">
            <w:pPr>
              <w:spacing w:line="300" w:lineRule="auto"/>
              <w:rPr>
                <w:szCs w:val="21"/>
              </w:rPr>
            </w:pPr>
            <w:r>
              <w:rPr>
                <w:szCs w:val="21"/>
              </w:rPr>
              <w:t>注</w:t>
            </w:r>
            <w:r>
              <w:rPr>
                <w:szCs w:val="21"/>
              </w:rPr>
              <w:t>2</w:t>
            </w:r>
            <w:r>
              <w:rPr>
                <w:szCs w:val="21"/>
              </w:rPr>
              <w:t>：应选取每年中相对固定的时间段采样。地下水流向可能发生季节性变化的区域应选取每年中地下水流向不同的时间段分别采样。</w:t>
            </w:r>
          </w:p>
        </w:tc>
      </w:tr>
    </w:tbl>
    <w:p w14:paraId="261A8C5E" w14:textId="77777777" w:rsidR="0014798F" w:rsidRDefault="00FE0155">
      <w:pPr>
        <w:pStyle w:val="ab"/>
        <w:spacing w:beforeLines="50" w:before="156" w:afterLines="50" w:after="156" w:line="276" w:lineRule="auto"/>
        <w:ind w:firstLineChars="0" w:firstLine="0"/>
        <w:outlineLvl w:val="1"/>
        <w:rPr>
          <w:rFonts w:ascii="Times New Roman" w:eastAsia="黑体"/>
          <w:szCs w:val="22"/>
        </w:rPr>
      </w:pPr>
      <w:bookmarkStart w:id="166" w:name="_Toc10658"/>
      <w:r>
        <w:rPr>
          <w:rFonts w:ascii="Times New Roman" w:eastAsia="黑体" w:hint="eastAsia"/>
          <w:szCs w:val="22"/>
        </w:rPr>
        <w:lastRenderedPageBreak/>
        <w:t>8</w:t>
      </w:r>
      <w:r>
        <w:rPr>
          <w:rFonts w:ascii="Times New Roman" w:eastAsia="黑体"/>
          <w:szCs w:val="22"/>
        </w:rPr>
        <w:t>.</w:t>
      </w:r>
      <w:r>
        <w:rPr>
          <w:rFonts w:ascii="Times New Roman" w:eastAsia="黑体" w:hint="eastAsia"/>
          <w:szCs w:val="22"/>
        </w:rPr>
        <w:t xml:space="preserve">5 </w:t>
      </w:r>
      <w:r>
        <w:rPr>
          <w:rFonts w:ascii="Times New Roman" w:eastAsia="黑体"/>
          <w:szCs w:val="22"/>
        </w:rPr>
        <w:t>效果评估</w:t>
      </w:r>
      <w:bookmarkEnd w:id="166"/>
    </w:p>
    <w:p w14:paraId="261A8C5F" w14:textId="77777777" w:rsidR="0014798F" w:rsidRDefault="00FE0155">
      <w:pPr>
        <w:pStyle w:val="1"/>
        <w:ind w:firstLine="0"/>
      </w:pPr>
      <w:r>
        <w:rPr>
          <w:rFonts w:hint="eastAsia"/>
          <w:lang w:val="en-US"/>
        </w:rPr>
        <w:t xml:space="preserve">8.5.1 </w:t>
      </w:r>
      <w:r>
        <w:t>污染治理类工程效果评估，可通过定期对石油开采区及周边土壤、监测井进行采样检测，确定土壤和地下水环境相关指标情况，尤其关注地下水中修复材料、污染物及其反应产物的浓度变化，通过污染物迁移及反应过程分析，判断场地内地下水中污染物是否达到修复目标，对技术方法的应用效果进行评估。具体可参照</w:t>
      </w:r>
      <w:r>
        <w:t>HJ 25.5-2018</w:t>
      </w:r>
      <w:r>
        <w:t>相关要求。</w:t>
      </w:r>
    </w:p>
    <w:p w14:paraId="261A8C60" w14:textId="77777777" w:rsidR="0014798F" w:rsidRDefault="00FE0155">
      <w:pPr>
        <w:pStyle w:val="1"/>
        <w:ind w:firstLine="0"/>
      </w:pPr>
      <w:r>
        <w:rPr>
          <w:rFonts w:hint="eastAsia"/>
          <w:lang w:val="en-US"/>
        </w:rPr>
        <w:t xml:space="preserve">8.5.2 </w:t>
      </w:r>
      <w:r>
        <w:t>非污染治理类工程效果评估，按照《建设项目（工程）竣工验收办法》《建设项目竣工环境保护验收暂行办法》和</w:t>
      </w:r>
      <w:r>
        <w:t>HJ 651</w:t>
      </w:r>
      <w:r>
        <w:t>有关规定执行。</w:t>
      </w:r>
    </w:p>
    <w:p w14:paraId="261A8C61" w14:textId="77777777" w:rsidR="0014798F" w:rsidRDefault="0014798F">
      <w:pPr>
        <w:pStyle w:val="1"/>
        <w:spacing w:line="300" w:lineRule="auto"/>
        <w:ind w:firstLine="0"/>
      </w:pPr>
    </w:p>
    <w:p w14:paraId="261A8C62" w14:textId="77777777" w:rsidR="0014798F" w:rsidRDefault="0014798F">
      <w:pPr>
        <w:spacing w:line="300" w:lineRule="auto"/>
      </w:pPr>
    </w:p>
    <w:sectPr w:rsidR="0014798F">
      <w:headerReference w:type="default" r:id="rId19"/>
      <w:footerReference w:type="even" r:id="rId20"/>
      <w:footerReference w:type="default" r:id="rId21"/>
      <w:pgSz w:w="11906" w:h="16838"/>
      <w:pgMar w:top="567" w:right="1700" w:bottom="1134" w:left="1418" w:header="850" w:footer="992"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1A8C7E" w14:textId="77777777" w:rsidR="00FE0155" w:rsidRDefault="00FE0155">
      <w:r>
        <w:separator/>
      </w:r>
    </w:p>
  </w:endnote>
  <w:endnote w:type="continuationSeparator" w:id="0">
    <w:p w14:paraId="261A8C80" w14:textId="77777777" w:rsidR="00FE0155" w:rsidRDefault="00FE0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方正黑体简体">
    <w:altName w:val="微软雅黑"/>
    <w:charset w:val="00"/>
    <w:family w:val="auto"/>
    <w:pitch w:val="default"/>
    <w:sig w:usb0="00000000" w:usb1="00000000" w:usb2="00000012"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A8C6F" w14:textId="77777777" w:rsidR="0014798F" w:rsidRDefault="0014798F">
    <w:pPr>
      <w:pStyle w:val="ac"/>
      <w:ind w:firstLineChars="5200" w:firstLine="9360"/>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A8C70" w14:textId="77777777" w:rsidR="0014798F" w:rsidRDefault="00FE0155">
    <w:pPr>
      <w:pStyle w:val="a5"/>
    </w:pPr>
    <w:r>
      <w:rPr>
        <w:noProof/>
      </w:rPr>
      <mc:AlternateContent>
        <mc:Choice Requires="wps">
          <w:drawing>
            <wp:anchor distT="0" distB="0" distL="114300" distR="114300" simplePos="0" relativeHeight="251660288" behindDoc="0" locked="0" layoutInCell="1" allowOverlap="1" wp14:anchorId="261A8C7A" wp14:editId="261A8C7B">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1A8C86" w14:textId="77777777" w:rsidR="0014798F" w:rsidRDefault="00FE0155">
                          <w:pPr>
                            <w:pStyle w:val="a5"/>
                          </w:pPr>
                          <w:r>
                            <w:fldChar w:fldCharType="begin"/>
                          </w:r>
                          <w:r>
                            <w:instrText xml:space="preserve"> PAGE  \* MERGEFORMAT </w:instrText>
                          </w:r>
                          <w:r>
                            <w:fldChar w:fldCharType="separate"/>
                          </w:r>
                          <w:r>
                            <w:t>I</w:t>
                          </w:r>
                          <w:r>
                            <w:fldChar w:fldCharType="end"/>
                          </w:r>
                        </w:p>
                      </w:txbxContent>
                    </wps:txbx>
                    <wps:bodyPr wrap="none" lIns="0" tIns="0" rIns="0" bIns="0">
                      <a:spAutoFit/>
                    </wps:bodyPr>
                  </wps:wsp>
                </a:graphicData>
              </a:graphic>
            </wp:anchor>
          </w:drawing>
        </mc:Choice>
        <mc:Fallback>
          <w:pict>
            <v:shapetype w14:anchorId="261A8C7A" id="_x0000_t202" coordsize="21600,21600" o:spt="202" path="m,l,21600r21600,l21600,xe">
              <v:stroke joinstyle="miter"/>
              <v:path gradientshapeok="t" o:connecttype="rect"/>
            </v:shapetype>
            <v:shape id="文本框 3" o:spid="_x0000_s1026"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filled="f" stroked="f">
              <v:textbox style="mso-fit-shape-to-text:t" inset="0,0,0,0">
                <w:txbxContent>
                  <w:p w14:paraId="261A8C86" w14:textId="77777777" w:rsidR="0014798F" w:rsidRDefault="00FE0155">
                    <w:pPr>
                      <w:pStyle w:val="a5"/>
                    </w:pPr>
                    <w:r>
                      <w:fldChar w:fldCharType="begin"/>
                    </w:r>
                    <w:r>
                      <w:instrText xml:space="preserve"> PAGE  \* MERGEFORMAT </w:instrText>
                    </w:r>
                    <w:r>
                      <w:fldChar w:fldCharType="separate"/>
                    </w:r>
                    <w:r>
                      <w:t>I</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A8C71" w14:textId="77777777" w:rsidR="0014798F" w:rsidRDefault="00FE0155">
    <w:pPr>
      <w:pStyle w:val="ac"/>
      <w:ind w:firstLineChars="5200" w:firstLine="9360"/>
      <w:jc w:val="both"/>
    </w:pPr>
    <w:r>
      <w:rPr>
        <w:noProof/>
      </w:rPr>
      <mc:AlternateContent>
        <mc:Choice Requires="wps">
          <w:drawing>
            <wp:anchor distT="0" distB="0" distL="114300" distR="114300" simplePos="0" relativeHeight="251659264" behindDoc="0" locked="0" layoutInCell="1" allowOverlap="1" wp14:anchorId="261A8C7C" wp14:editId="261A8C7D">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1A8C85" w14:textId="77777777" w:rsidR="0014798F" w:rsidRDefault="00FE0155">
                          <w:pPr>
                            <w:pStyle w:val="a5"/>
                          </w:pPr>
                          <w:r>
                            <w:fldChar w:fldCharType="begin"/>
                          </w:r>
                          <w:r>
                            <w:instrText xml:space="preserve"> PAGE  \* MERGEFORMAT </w:instrText>
                          </w:r>
                          <w:r>
                            <w:fldChar w:fldCharType="separate"/>
                          </w:r>
                          <w:r>
                            <w:t>I</w:t>
                          </w:r>
                          <w:r>
                            <w:fldChar w:fldCharType="end"/>
                          </w:r>
                        </w:p>
                      </w:txbxContent>
                    </wps:txbx>
                    <wps:bodyPr wrap="none" lIns="0" tIns="0" rIns="0" bIns="0">
                      <a:spAutoFit/>
                    </wps:bodyPr>
                  </wps:wsp>
                </a:graphicData>
              </a:graphic>
            </wp:anchor>
          </w:drawing>
        </mc:Choice>
        <mc:Fallback>
          <w:pict>
            <v:shapetype w14:anchorId="261A8C7C" id="_x0000_t202" coordsize="21600,21600" o:spt="202" path="m,l,21600r21600,l21600,xe">
              <v:stroke joinstyle="miter"/>
              <v:path gradientshapeok="t" o:connecttype="rect"/>
            </v:shapetype>
            <v:shape id="文本框 2" o:spid="_x0000_s1027"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filled="f" stroked="f">
              <v:textbox style="mso-fit-shape-to-text:t" inset="0,0,0,0">
                <w:txbxContent>
                  <w:p w14:paraId="261A8C85" w14:textId="77777777" w:rsidR="0014798F" w:rsidRDefault="00FE0155">
                    <w:pPr>
                      <w:pStyle w:val="a5"/>
                    </w:pPr>
                    <w:r>
                      <w:fldChar w:fldCharType="begin"/>
                    </w:r>
                    <w:r>
                      <w:instrText xml:space="preserve"> PAGE  \* MERGEFORMAT </w:instrText>
                    </w:r>
                    <w:r>
                      <w:fldChar w:fldCharType="separate"/>
                    </w:r>
                    <w:r>
                      <w:t>I</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A8C72" w14:textId="77777777" w:rsidR="0014798F" w:rsidRDefault="00FE0155">
    <w:pPr>
      <w:pStyle w:val="a5"/>
    </w:pPr>
    <w:r>
      <w:rPr>
        <w:noProof/>
      </w:rPr>
      <mc:AlternateContent>
        <mc:Choice Requires="wps">
          <w:drawing>
            <wp:anchor distT="0" distB="0" distL="114300" distR="114300" simplePos="0" relativeHeight="251661312" behindDoc="0" locked="0" layoutInCell="1" allowOverlap="1" wp14:anchorId="261A8C7E" wp14:editId="261A8C7F">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1A8C84" w14:textId="77777777" w:rsidR="0014798F" w:rsidRDefault="00FE0155">
                          <w:pPr>
                            <w:pStyle w:val="a5"/>
                          </w:pPr>
                          <w:r>
                            <w:fldChar w:fldCharType="begin"/>
                          </w:r>
                          <w:r>
                            <w:instrText xml:space="preserve"> PAGE  \* MERGEFORMAT </w:instrText>
                          </w:r>
                          <w:r>
                            <w:fldChar w:fldCharType="separate"/>
                          </w:r>
                          <w:r>
                            <w:t>I</w:t>
                          </w:r>
                          <w:r>
                            <w:fldChar w:fldCharType="end"/>
                          </w:r>
                        </w:p>
                      </w:txbxContent>
                    </wps:txbx>
                    <wps:bodyPr wrap="none" lIns="0" tIns="0" rIns="0" bIns="0">
                      <a:spAutoFit/>
                    </wps:bodyPr>
                  </wps:wsp>
                </a:graphicData>
              </a:graphic>
            </wp:anchor>
          </w:drawing>
        </mc:Choice>
        <mc:Fallback>
          <w:pict>
            <v:shapetype w14:anchorId="261A8C7E" id="_x0000_t202" coordsize="21600,21600" o:spt="202" path="m,l,21600r21600,l21600,xe">
              <v:stroke joinstyle="miter"/>
              <v:path gradientshapeok="t" o:connecttype="rect"/>
            </v:shapetype>
            <v:shape id="文本框 5"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261A8C84" w14:textId="77777777" w:rsidR="0014798F" w:rsidRDefault="00FE0155">
                    <w:pPr>
                      <w:pStyle w:val="a5"/>
                    </w:pPr>
                    <w:r>
                      <w:fldChar w:fldCharType="begin"/>
                    </w:r>
                    <w:r>
                      <w:instrText xml:space="preserve"> PAGE  \* MERGEFORMAT </w:instrText>
                    </w:r>
                    <w:r>
                      <w:fldChar w:fldCharType="separate"/>
                    </w:r>
                    <w:r>
                      <w:t>I</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A8C73" w14:textId="77777777" w:rsidR="0014798F" w:rsidRDefault="00FE0155">
    <w:pPr>
      <w:pStyle w:val="a5"/>
    </w:pPr>
    <w:r>
      <w:rPr>
        <w:noProof/>
      </w:rPr>
      <mc:AlternateContent>
        <mc:Choice Requires="wps">
          <w:drawing>
            <wp:anchor distT="0" distB="0" distL="114300" distR="114300" simplePos="0" relativeHeight="251665408" behindDoc="0" locked="0" layoutInCell="1" allowOverlap="1" wp14:anchorId="261A8C80" wp14:editId="261A8C81">
              <wp:simplePos x="0" y="0"/>
              <wp:positionH relativeFrom="margin">
                <wp:posOffset>63500</wp:posOffset>
              </wp:positionH>
              <wp:positionV relativeFrom="paragraph">
                <wp:posOffset>-20955</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1A8C88" w14:textId="77777777" w:rsidR="0014798F" w:rsidRDefault="00FE0155">
                          <w:pPr>
                            <w:pStyle w:val="a5"/>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w:pict>
            <v:shapetype w14:anchorId="261A8C80" id="_x0000_t202" coordsize="21600,21600" o:spt="202" path="m,l,21600r21600,l21600,xe">
              <v:stroke joinstyle="miter"/>
              <v:path gradientshapeok="t" o:connecttype="rect"/>
            </v:shapetype>
            <v:shape id="文本框 8" o:spid="_x0000_s1029" type="#_x0000_t202" style="position:absolute;left:0;text-align:left;margin-left:5pt;margin-top:-1.65pt;width:2in;height:2in;z-index:251665408;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HZAjAEAACADAAAOAAAAZHJzL2Uyb0RvYy54bWysUsFqGzEQvQf6D0L3WhsTilm8DgkhoVDa&#10;QpoPkLWSVyBphEbxrv++I9lrt8kt5KIdzWjfvPdm1reTd2yvE1oIHb9eNJzpoKC3Ydfxlz+PX1ec&#10;YZahlw6C7vhBI7/dfLlaj7HVSxjA9ToxAgnYjrHjQ86xFQLVoL3EBUQdqGggeZnpmnaiT3IkdO/E&#10;smm+iRFSHxMojUjZh2ORbyq+MVrlX8agzsx1nLjleqZ6bsspNmvZ7pKMg1UnGvIDLLy0gZqeoR5k&#10;luw12XdQ3qoECCYvFHgBxlilqwZSc928UfM8yKirFjIH49km/DxY9XP/HH8nlqd7mGiAxZAxYouU&#10;LHomk3z5ElNGdbLwcLZNT5mp8tNquVo1VFJUmy+EIy6/x4T5SYNnJeh4orlUu+T+B+bj0/lJ6Rbg&#10;0TpXZ+PCfwnCLBlx4ViiPG0nZvuO38z8t9AfSNZIk+14oNXjzH0PZFxZgjlIc7A9BaUVxrvXTP0r&#10;rQJ+hDr1pDFUYaeVKXP+915fXRZ78xcAAP//AwBQSwMEFAAGAAgAAAAhADe7gPbcAAAACQEAAA8A&#10;AABkcnMvZG93bnJldi54bWxMj0FPwzAMhe9I/IfISNy2lA2x0jWd0CQu3BgIiVvWeE21xKmSrGv/&#10;PeYENz8/6/l79W7yTowYUx9IwcOyAIHUBtNTp+Dz43VRgkhZk9EuECqYMcGuub2pdWXCld5xPORO&#10;cAilSiuwOQ+VlKm16HVahgGJvVOIXmeWsZMm6iuHeydXRfEkve6JP1g94N5iez5cvILN9BVwSLjH&#10;79PYRtvPpXublbq/m162IDJO+e8YfvEZHRpmOoYLmSQc64KrZAWL9RoE+6vnkhdHHsrHDcimlv8b&#10;ND8AAAD//wMAUEsBAi0AFAAGAAgAAAAhALaDOJL+AAAA4QEAABMAAAAAAAAAAAAAAAAAAAAAAFtD&#10;b250ZW50X1R5cGVzXS54bWxQSwECLQAUAAYACAAAACEAOP0h/9YAAACUAQAACwAAAAAAAAAAAAAA&#10;AAAvAQAAX3JlbHMvLnJlbHNQSwECLQAUAAYACAAAACEAdkx2QIwBAAAgAwAADgAAAAAAAAAAAAAA&#10;AAAuAgAAZHJzL2Uyb0RvYy54bWxQSwECLQAUAAYACAAAACEAN7uA9twAAAAJAQAADwAAAAAAAAAA&#10;AAAAAADmAwAAZHJzL2Rvd25yZXYueG1sUEsFBgAAAAAEAAQA8wAAAO8EAAAAAA==&#10;" filled="f" stroked="f">
              <v:textbox style="mso-fit-shape-to-text:t" inset="0,0,0,0">
                <w:txbxContent>
                  <w:p w14:paraId="261A8C88" w14:textId="77777777" w:rsidR="0014798F" w:rsidRDefault="00FE0155">
                    <w:pPr>
                      <w:pStyle w:val="a5"/>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A8C74" w14:textId="77777777" w:rsidR="0014798F" w:rsidRDefault="00FE0155">
    <w:pPr>
      <w:pStyle w:val="a5"/>
      <w:spacing w:after="120"/>
      <w:jc w:val="center"/>
    </w:pPr>
    <w:r>
      <w:rPr>
        <w:noProof/>
      </w:rPr>
      <mc:AlternateContent>
        <mc:Choice Requires="wps">
          <w:drawing>
            <wp:anchor distT="0" distB="0" distL="114300" distR="114300" simplePos="0" relativeHeight="251664384" behindDoc="0" locked="0" layoutInCell="1" allowOverlap="1" wp14:anchorId="261A8C82" wp14:editId="261A8C83">
              <wp:simplePos x="0" y="0"/>
              <wp:positionH relativeFrom="margin">
                <wp:posOffset>137160</wp:posOffset>
              </wp:positionH>
              <wp:positionV relativeFrom="paragraph">
                <wp:posOffset>20955</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1A8C87" w14:textId="77777777" w:rsidR="0014798F" w:rsidRDefault="00FE0155">
                          <w:pPr>
                            <w:pStyle w:val="a5"/>
                            <w:spacing w:before="120" w:after="120"/>
                            <w:jc w:val="center"/>
                          </w:pPr>
                          <w:r>
                            <w:fldChar w:fldCharType="begin"/>
                          </w:r>
                          <w:r>
                            <w:instrText>PAGE   \* MERGEFORMAT</w:instrText>
                          </w:r>
                          <w:r>
                            <w:fldChar w:fldCharType="separate"/>
                          </w:r>
                          <w:r>
                            <w:rPr>
                              <w:lang w:val="zh-CN"/>
                            </w:rPr>
                            <w:t>I</w:t>
                          </w:r>
                          <w:r>
                            <w:fldChar w:fldCharType="end"/>
                          </w:r>
                        </w:p>
                      </w:txbxContent>
                    </wps:txbx>
                    <wps:bodyPr wrap="none" lIns="0" tIns="0" rIns="0" bIns="0">
                      <a:spAutoFit/>
                    </wps:bodyPr>
                  </wps:wsp>
                </a:graphicData>
              </a:graphic>
            </wp:anchor>
          </w:drawing>
        </mc:Choice>
        <mc:Fallback>
          <w:pict>
            <v:shapetype w14:anchorId="261A8C82" id="_x0000_t202" coordsize="21600,21600" o:spt="202" path="m,l,21600r21600,l21600,xe">
              <v:stroke joinstyle="miter"/>
              <v:path gradientshapeok="t" o:connecttype="rect"/>
            </v:shapetype>
            <v:shape id="文本框 4" o:spid="_x0000_s1030" type="#_x0000_t202" style="position:absolute;left:0;text-align:left;margin-left:10.8pt;margin-top:1.65pt;width:2in;height:2in;z-index:25166438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HOxjAEAACADAAAOAAAAZHJzL2Uyb0RvYy54bWysUsFqGzEQvQf6D0L3WhsHilm8DgkhoVDa&#10;QpoPkLWSVyBphEbxrv++I9lrt8kt5KIdzWjfvPdm1reTd2yvE1oIHb9eNJzpoKC3Ydfxlz+PX1ec&#10;YZahlw6C7vhBI7/dfLlaj7HVSxjA9ToxAgnYjrHjQ86xFQLVoL3EBUQdqGggeZnpmnaiT3IkdO/E&#10;smm+iRFSHxMojUjZh2ORbyq+MVrlX8agzsx1nLjleqZ6bsspNmvZ7pKMg1UnGvIDLLy0gZqeoR5k&#10;luw12XdQ3qoECCYvFHgBxlilqwZSc928UfM8yKirFjIH49km/DxY9XP/HH8nlqd7mGiAxZAxYouU&#10;LHomk3z5ElNGdbLwcLZNT5mp8tNquVo1VFJUmy+EIy6/x4T5SYNnJeh4orlUu+T+B+bj0/lJ6Rbg&#10;0TpXZ+PCfwnCLBlx4ViiPG0nZvuO38z8t9AfSNZIk+14oNXjzH0PZFxZgjlIc7A9BaUVxrvXTP0r&#10;rQJ+hDr1pDFUYaeVKXP+915fXRZ78xcAAP//AwBQSwMEFAAGAAgAAAAhAFqubmLbAAAACAEAAA8A&#10;AABkcnMvZG93bnJldi54bWxMj8FOwzAQRO9I/IO1SNyok0YqbYhToUpcuFEQEjc33sYR9jqy3TT5&#10;e5YTHGdnNPum2c/eiQljGgIpKFcFCKQumIF6BR/vLw9bEClrMtoFQgULJti3tzeNrk240htOx9wL&#10;LqFUawU257GWMnUWvU6rMCKxdw7R68wy9tJEfeVy7+S6KDbS64H4g9UjHix238eLV/A4fwYcEx7w&#10;6zx10Q7L1r0uSt3fzc9PIDLO+S8Mv/iMDi0zncKFTBJOwbrccFJBVYFguyp2rE9835UVyLaR/we0&#10;PwAAAP//AwBQSwECLQAUAAYACAAAACEAtoM4kv4AAADhAQAAEwAAAAAAAAAAAAAAAAAAAAAAW0Nv&#10;bnRlbnRfVHlwZXNdLnhtbFBLAQItABQABgAIAAAAIQA4/SH/1gAAAJQBAAALAAAAAAAAAAAAAAAA&#10;AC8BAABfcmVscy8ucmVsc1BLAQItABQABgAIAAAAIQDFaHOxjAEAACADAAAOAAAAAAAAAAAAAAAA&#10;AC4CAABkcnMvZTJvRG9jLnhtbFBLAQItABQABgAIAAAAIQBarm5i2wAAAAgBAAAPAAAAAAAAAAAA&#10;AAAAAOYDAABkcnMvZG93bnJldi54bWxQSwUGAAAAAAQABADzAAAA7gQAAAAA&#10;" filled="f" stroked="f">
              <v:textbox style="mso-fit-shape-to-text:t" inset="0,0,0,0">
                <w:txbxContent>
                  <w:p w14:paraId="261A8C87" w14:textId="77777777" w:rsidR="0014798F" w:rsidRDefault="00FE0155">
                    <w:pPr>
                      <w:pStyle w:val="a5"/>
                      <w:spacing w:before="120" w:after="120"/>
                      <w:jc w:val="center"/>
                    </w:pPr>
                    <w:r>
                      <w:fldChar w:fldCharType="begin"/>
                    </w:r>
                    <w:r>
                      <w:instrText>PAGE   \* MERGEFORMAT</w:instrText>
                    </w:r>
                    <w:r>
                      <w:fldChar w:fldCharType="separate"/>
                    </w:r>
                    <w:r>
                      <w:rPr>
                        <w:lang w:val="zh-CN"/>
                      </w:rPr>
                      <w:t>I</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A8C76" w14:textId="77777777" w:rsidR="0014798F" w:rsidRDefault="00FE0155">
    <w:pPr>
      <w:pStyle w:val="a5"/>
      <w:jc w:val="left"/>
      <w:rPr>
        <w:sz w:val="21"/>
        <w:szCs w:val="21"/>
      </w:rPr>
    </w:pPr>
    <w:r>
      <w:rPr>
        <w:sz w:val="21"/>
        <w:szCs w:val="21"/>
      </w:rPr>
      <w:fldChar w:fldCharType="begin"/>
    </w:r>
    <w:r>
      <w:rPr>
        <w:sz w:val="21"/>
        <w:szCs w:val="21"/>
      </w:rPr>
      <w:instrText>PAGE   \* MERGEFORMAT</w:instrText>
    </w:r>
    <w:r>
      <w:rPr>
        <w:sz w:val="21"/>
        <w:szCs w:val="21"/>
      </w:rPr>
      <w:fldChar w:fldCharType="separate"/>
    </w:r>
    <w:r>
      <w:rPr>
        <w:sz w:val="21"/>
        <w:szCs w:val="21"/>
        <w:lang w:val="zh-CN"/>
      </w:rPr>
      <w:t>2</w:t>
    </w:r>
    <w:r>
      <w:rPr>
        <w:sz w:val="21"/>
        <w:szCs w:val="21"/>
      </w:rPr>
      <w:fldChar w:fldCharType="end"/>
    </w:r>
  </w:p>
  <w:p w14:paraId="261A8C77" w14:textId="77777777" w:rsidR="0014798F" w:rsidRDefault="0014798F">
    <w:pPr>
      <w:pStyle w:val="a5"/>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A8C78" w14:textId="77777777" w:rsidR="0014798F" w:rsidRDefault="00FE0155">
    <w:pPr>
      <w:pStyle w:val="a5"/>
      <w:rPr>
        <w:sz w:val="21"/>
        <w:szCs w:val="21"/>
      </w:rPr>
    </w:pPr>
    <w:r>
      <w:rPr>
        <w:sz w:val="21"/>
        <w:szCs w:val="21"/>
      </w:rPr>
      <w:fldChar w:fldCharType="begin"/>
    </w:r>
    <w:r>
      <w:rPr>
        <w:sz w:val="21"/>
        <w:szCs w:val="21"/>
      </w:rPr>
      <w:instrText>PAGE   \* MERGEFORMAT</w:instrText>
    </w:r>
    <w:r>
      <w:rPr>
        <w:sz w:val="21"/>
        <w:szCs w:val="21"/>
      </w:rPr>
      <w:fldChar w:fldCharType="separate"/>
    </w:r>
    <w:r>
      <w:rPr>
        <w:sz w:val="21"/>
        <w:szCs w:val="21"/>
        <w:lang w:val="zh-CN"/>
      </w:rPr>
      <w:t>2</w:t>
    </w:r>
    <w:r>
      <w:rPr>
        <w:sz w:val="21"/>
        <w:szCs w:val="21"/>
      </w:rPr>
      <w:fldChar w:fldCharType="end"/>
    </w:r>
  </w:p>
  <w:p w14:paraId="261A8C79" w14:textId="77777777" w:rsidR="0014798F" w:rsidRDefault="0014798F">
    <w:pPr>
      <w:pStyle w:val="ac"/>
      <w:tabs>
        <w:tab w:val="left" w:pos="10490"/>
      </w:tabs>
      <w:ind w:right="-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1A8C7A" w14:textId="77777777" w:rsidR="00FE0155" w:rsidRDefault="00FE0155">
      <w:r>
        <w:separator/>
      </w:r>
    </w:p>
  </w:footnote>
  <w:footnote w:type="continuationSeparator" w:id="0">
    <w:p w14:paraId="261A8C7C" w14:textId="77777777" w:rsidR="00FE0155" w:rsidRDefault="00FE0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A8C6D" w14:textId="77777777" w:rsidR="0014798F" w:rsidRDefault="00FE0155">
    <w:pPr>
      <w:pStyle w:val="a6"/>
      <w:jc w:val="right"/>
      <w:rPr>
        <w:rFonts w:eastAsia="黑体"/>
      </w:rPr>
    </w:pPr>
    <w:r>
      <w:rPr>
        <w:rFonts w:eastAsia="黑体"/>
        <w:sz w:val="21"/>
        <w:szCs w:val="21"/>
      </w:rPr>
      <w:t>T/CHIDA ****—202</w:t>
    </w:r>
    <w:r>
      <w:rPr>
        <w:rFonts w:eastAsia="黑体" w:hint="eastAsia"/>
        <w:sz w:val="21"/>
        <w:szCs w:val="21"/>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A8C6E" w14:textId="77777777" w:rsidR="0014798F" w:rsidRDefault="00FE0155">
    <w:pPr>
      <w:pStyle w:val="a6"/>
      <w:jc w:val="right"/>
      <w:rPr>
        <w:rFonts w:eastAsia="黑体"/>
        <w:sz w:val="13"/>
        <w:szCs w:val="13"/>
      </w:rPr>
    </w:pPr>
    <w:r>
      <w:rPr>
        <w:rFonts w:eastAsia="黑体"/>
        <w:sz w:val="21"/>
        <w:szCs w:val="21"/>
      </w:rPr>
      <w:t>T/CHIDA ****—202</w:t>
    </w:r>
    <w:r>
      <w:rPr>
        <w:rFonts w:eastAsia="黑体" w:hint="eastAsia"/>
        <w:sz w:val="21"/>
        <w:szCs w:val="21"/>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A8C75" w14:textId="77777777" w:rsidR="0014798F" w:rsidRDefault="00FE0155">
    <w:pPr>
      <w:pStyle w:val="a6"/>
      <w:jc w:val="right"/>
      <w:rPr>
        <w:rFonts w:eastAsia="黑体"/>
      </w:rPr>
    </w:pPr>
    <w:r>
      <w:rPr>
        <w:rFonts w:ascii="黑体" w:eastAsia="黑体"/>
        <w:kern w:val="0"/>
        <w:sz w:val="21"/>
        <w:szCs w:val="21"/>
      </w:rPr>
      <w:t>T/CHIDA ****</w:t>
    </w:r>
    <w:r>
      <w:rPr>
        <w:rFonts w:ascii="黑体" w:eastAsia="黑体"/>
        <w:kern w:val="0"/>
        <w:sz w:val="21"/>
        <w:szCs w:val="21"/>
      </w:rPr>
      <w:t>—</w:t>
    </w:r>
    <w:r>
      <w:rPr>
        <w:rFonts w:ascii="黑体" w:eastAsia="黑体"/>
        <w:kern w:val="0"/>
        <w:sz w:val="21"/>
        <w:szCs w:val="21"/>
      </w:rPr>
      <w:t>202</w:t>
    </w:r>
    <w:r>
      <w:rPr>
        <w:rFonts w:ascii="黑体" w:eastAsia="黑体" w:hint="eastAsia"/>
        <w:kern w:val="0"/>
        <w:sz w:val="21"/>
        <w:szCs w:val="21"/>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397098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MbAwNLQ0NrS0NDNU0lEKTi0uzszPAykwrAUAQ0NsqCwAAAA="/>
    <w:docVar w:name="commondata" w:val="eyJoZGlkIjoiMmFlNjdlZjJjMGNiMjZhMzZkNGIxOTRkODJmOTVjYjAifQ=="/>
  </w:docVars>
  <w:rsids>
    <w:rsidRoot w:val="00D4106B"/>
    <w:rsid w:val="0014798F"/>
    <w:rsid w:val="001E21FA"/>
    <w:rsid w:val="002B5B72"/>
    <w:rsid w:val="003B019D"/>
    <w:rsid w:val="003E075A"/>
    <w:rsid w:val="004459E4"/>
    <w:rsid w:val="0055718A"/>
    <w:rsid w:val="00606B6F"/>
    <w:rsid w:val="00626A2F"/>
    <w:rsid w:val="006B04AF"/>
    <w:rsid w:val="00790182"/>
    <w:rsid w:val="00B00629"/>
    <w:rsid w:val="00B50D2D"/>
    <w:rsid w:val="00BA016B"/>
    <w:rsid w:val="00BC598E"/>
    <w:rsid w:val="00C912F8"/>
    <w:rsid w:val="00D4106B"/>
    <w:rsid w:val="00E329D5"/>
    <w:rsid w:val="00F3298D"/>
    <w:rsid w:val="00FB44EA"/>
    <w:rsid w:val="00FE0155"/>
    <w:rsid w:val="00FE212E"/>
    <w:rsid w:val="01217727"/>
    <w:rsid w:val="080F2686"/>
    <w:rsid w:val="116D241F"/>
    <w:rsid w:val="13CC58CF"/>
    <w:rsid w:val="146E4C86"/>
    <w:rsid w:val="154F7DFE"/>
    <w:rsid w:val="1A077661"/>
    <w:rsid w:val="1B755983"/>
    <w:rsid w:val="2223378C"/>
    <w:rsid w:val="24CA19B7"/>
    <w:rsid w:val="25643BBA"/>
    <w:rsid w:val="272D447F"/>
    <w:rsid w:val="287E2505"/>
    <w:rsid w:val="287E31E4"/>
    <w:rsid w:val="2A473AAA"/>
    <w:rsid w:val="30B04157"/>
    <w:rsid w:val="351F18AB"/>
    <w:rsid w:val="3575771D"/>
    <w:rsid w:val="389B7011"/>
    <w:rsid w:val="397B11A6"/>
    <w:rsid w:val="3B7364AD"/>
    <w:rsid w:val="40E656C6"/>
    <w:rsid w:val="43B753A5"/>
    <w:rsid w:val="44097271"/>
    <w:rsid w:val="49CF3448"/>
    <w:rsid w:val="51B11685"/>
    <w:rsid w:val="51CD4EEA"/>
    <w:rsid w:val="53940A2C"/>
    <w:rsid w:val="59F6057D"/>
    <w:rsid w:val="60AA06DD"/>
    <w:rsid w:val="61513790"/>
    <w:rsid w:val="61D1730B"/>
    <w:rsid w:val="626E5F43"/>
    <w:rsid w:val="6329551F"/>
    <w:rsid w:val="6B947BF6"/>
    <w:rsid w:val="742C1E48"/>
    <w:rsid w:val="74367A9C"/>
    <w:rsid w:val="75742733"/>
    <w:rsid w:val="7E793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61A8A5F"/>
  <w15:docId w15:val="{6B051FDE-2B59-442F-B247-AFEA5E768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header" w:uiPriority="99"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jc w:val="both"/>
    </w:pPr>
    <w:rPr>
      <w:kern w:val="2"/>
      <w:sz w:val="21"/>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uiPriority w:val="99"/>
    <w:qFormat/>
    <w:pPr>
      <w:snapToGrid w:val="0"/>
      <w:ind w:rightChars="100" w:right="210"/>
      <w:jc w:val="right"/>
    </w:pPr>
    <w:rPr>
      <w:sz w:val="18"/>
      <w:szCs w:val="18"/>
    </w:rPr>
  </w:style>
  <w:style w:type="paragraph" w:styleId="a6">
    <w:name w:val="header"/>
    <w:basedOn w:val="a1"/>
    <w:uiPriority w:val="99"/>
    <w:qFormat/>
    <w:pPr>
      <w:snapToGrid w:val="0"/>
      <w:jc w:val="left"/>
    </w:pPr>
    <w:rPr>
      <w:sz w:val="18"/>
      <w:szCs w:val="18"/>
    </w:rPr>
  </w:style>
  <w:style w:type="paragraph" w:styleId="TOC1">
    <w:name w:val="toc 1"/>
    <w:basedOn w:val="a1"/>
    <w:next w:val="a1"/>
    <w:uiPriority w:val="39"/>
    <w:qFormat/>
    <w:pPr>
      <w:tabs>
        <w:tab w:val="right" w:leader="dot" w:pos="9241"/>
      </w:tabs>
      <w:spacing w:beforeLines="25" w:before="25" w:afterLines="25" w:after="25"/>
      <w:jc w:val="left"/>
    </w:pPr>
    <w:rPr>
      <w:rFonts w:ascii="宋体"/>
      <w:szCs w:val="21"/>
    </w:rPr>
  </w:style>
  <w:style w:type="paragraph" w:styleId="TOC2">
    <w:name w:val="toc 2"/>
    <w:basedOn w:val="a1"/>
    <w:next w:val="a1"/>
    <w:uiPriority w:val="39"/>
    <w:qFormat/>
    <w:pPr>
      <w:tabs>
        <w:tab w:val="right" w:leader="dot" w:pos="9241"/>
      </w:tabs>
    </w:pPr>
    <w:rPr>
      <w:rFonts w:ascii="宋体"/>
      <w:szCs w:val="21"/>
    </w:rPr>
  </w:style>
  <w:style w:type="table" w:styleId="a7">
    <w:name w:val="Table Grid"/>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qFormat/>
    <w:rPr>
      <w:color w:val="0000FF"/>
      <w:spacing w:val="0"/>
      <w:w w:val="100"/>
      <w:szCs w:val="21"/>
      <w:u w:val="single"/>
    </w:rPr>
  </w:style>
  <w:style w:type="character" w:styleId="a9">
    <w:name w:val="annotation reference"/>
    <w:qFormat/>
    <w:rPr>
      <w:sz w:val="21"/>
      <w:szCs w:val="21"/>
    </w:rPr>
  </w:style>
  <w:style w:type="paragraph" w:customStyle="1" w:styleId="aa">
    <w:name w:val="前言、引言标题"/>
    <w:next w:val="ab"/>
    <w:qFormat/>
    <w:pPr>
      <w:keepNext/>
      <w:pageBreakBefore/>
      <w:shd w:val="clear" w:color="FFFFFF" w:fill="FFFFFF"/>
      <w:spacing w:before="640" w:after="560"/>
      <w:jc w:val="center"/>
      <w:outlineLvl w:val="0"/>
    </w:pPr>
    <w:rPr>
      <w:rFonts w:ascii="黑体" w:eastAsia="黑体"/>
      <w:sz w:val="32"/>
    </w:rPr>
  </w:style>
  <w:style w:type="paragraph" w:customStyle="1" w:styleId="ab">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
    <w:name w:val="章标题"/>
    <w:next w:val="ab"/>
    <w:qFormat/>
    <w:pPr>
      <w:numPr>
        <w:numId w:val="1"/>
      </w:numPr>
      <w:spacing w:beforeLines="100" w:before="312" w:afterLines="100" w:after="312"/>
      <w:jc w:val="both"/>
      <w:outlineLvl w:val="1"/>
    </w:pPr>
    <w:rPr>
      <w:rFonts w:ascii="黑体" w:eastAsia="黑体"/>
      <w:sz w:val="21"/>
    </w:rPr>
  </w:style>
  <w:style w:type="paragraph" w:customStyle="1" w:styleId="1">
    <w:name w:val="正文文本1"/>
    <w:basedOn w:val="a1"/>
    <w:qFormat/>
    <w:pPr>
      <w:shd w:val="clear" w:color="auto" w:fill="FFFFFF"/>
      <w:spacing w:line="276" w:lineRule="auto"/>
      <w:ind w:firstLine="403"/>
    </w:pPr>
    <w:rPr>
      <w:rFonts w:cs="MingLiU"/>
      <w:lang w:val="zh-CN" w:bidi="zh-CN"/>
    </w:rPr>
  </w:style>
  <w:style w:type="paragraph" w:customStyle="1" w:styleId="a0">
    <w:name w:val="一级条标题"/>
    <w:next w:val="ab"/>
    <w:qFormat/>
    <w:pPr>
      <w:numPr>
        <w:ilvl w:val="1"/>
        <w:numId w:val="1"/>
      </w:numPr>
      <w:spacing w:beforeLines="50" w:before="156" w:afterLines="50" w:after="156"/>
      <w:outlineLvl w:val="2"/>
    </w:pPr>
    <w:rPr>
      <w:rFonts w:ascii="黑体" w:eastAsia="黑体"/>
      <w:sz w:val="21"/>
      <w:szCs w:val="21"/>
    </w:rPr>
  </w:style>
  <w:style w:type="paragraph" w:customStyle="1" w:styleId="ac">
    <w:name w:val="标准书脚_奇数页"/>
    <w:qFormat/>
    <w:pPr>
      <w:spacing w:before="120"/>
      <w:ind w:right="198"/>
      <w:jc w:val="right"/>
    </w:pPr>
    <w:rPr>
      <w:rFonts w:asci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2985</Words>
  <Characters>17018</Characters>
  <Application>Microsoft Office Word</Application>
  <DocSecurity>0</DocSecurity>
  <Lines>141</Lines>
  <Paragraphs>39</Paragraphs>
  <ScaleCrop>false</ScaleCrop>
  <Company/>
  <LinksUpToDate>false</LinksUpToDate>
  <CharactersWithSpaces>19964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29710</dc:creator>
  <cp:lastModifiedBy>Fuqiang Fan</cp:lastModifiedBy>
  <cp:revision>10</cp:revision>
  <dcterms:created xsi:type="dcterms:W3CDTF">2024-10-20T02:21:00Z</dcterms:created>
  <dcterms:modified xsi:type="dcterms:W3CDTF">2024-11-24T10:40:00Z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F4B143D4F8CC4CF58EC7FF4B14A19F40_13</vt:lpwstr>
  </property>
</Properties>
</file>